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F0CC6" w14:textId="0F6A8178" w:rsidR="006E2668" w:rsidRPr="00DE75F6" w:rsidRDefault="00597E9C" w:rsidP="00597E9C">
      <w:pPr>
        <w:rPr>
          <w:i/>
          <w:sz w:val="20"/>
          <w:szCs w:val="20"/>
        </w:rPr>
      </w:pPr>
      <w:r w:rsidRPr="00DE75F6">
        <w:rPr>
          <w:i/>
          <w:sz w:val="20"/>
          <w:szCs w:val="20"/>
        </w:rPr>
        <w:t xml:space="preserve">Draft, </w:t>
      </w:r>
      <w:r w:rsidR="00964AD6">
        <w:rPr>
          <w:i/>
          <w:sz w:val="20"/>
          <w:szCs w:val="20"/>
        </w:rPr>
        <w:t>27</w:t>
      </w:r>
      <w:r w:rsidRPr="00DE75F6">
        <w:rPr>
          <w:i/>
          <w:sz w:val="20"/>
          <w:szCs w:val="20"/>
        </w:rPr>
        <w:t xml:space="preserve"> February 2019</w:t>
      </w:r>
    </w:p>
    <w:p w14:paraId="0FBB460C" w14:textId="62C2D9B9" w:rsidR="00597E9C" w:rsidRDefault="00597E9C" w:rsidP="00597E9C">
      <w:pPr>
        <w:jc w:val="center"/>
        <w:rPr>
          <w:b/>
          <w:sz w:val="28"/>
        </w:rPr>
      </w:pPr>
    </w:p>
    <w:p w14:paraId="2B5D27FA" w14:textId="17035453" w:rsidR="00597E9C" w:rsidRDefault="00DE75F6" w:rsidP="00597E9C">
      <w:pPr>
        <w:jc w:val="center"/>
        <w:rPr>
          <w:b/>
          <w:sz w:val="28"/>
        </w:rPr>
      </w:pPr>
      <w:r w:rsidRPr="00AB3359">
        <w:rPr>
          <w:noProof/>
        </w:rPr>
        <w:drawing>
          <wp:inline distT="0" distB="0" distL="0" distR="0" wp14:anchorId="75C6A60D" wp14:editId="60DD3FE0">
            <wp:extent cx="5710806" cy="1504950"/>
            <wp:effectExtent l="0" t="0" r="4445" b="0"/>
            <wp:docPr id="11" name="Picture 11" descr="C:\Users\GFMD User 8\Google Drive\Oficial Foro-Global-logo_Mesa de trabajo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FMD User 8\Google Drive\Oficial Foro-Global-logo_Mesa de trabajo 1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6330" cy="1506406"/>
                    </a:xfrm>
                    <a:prstGeom prst="rect">
                      <a:avLst/>
                    </a:prstGeom>
                    <a:noFill/>
                    <a:ln>
                      <a:noFill/>
                    </a:ln>
                  </pic:spPr>
                </pic:pic>
              </a:graphicData>
            </a:graphic>
          </wp:inline>
        </w:drawing>
      </w:r>
    </w:p>
    <w:p w14:paraId="5F4FF329" w14:textId="4C89518E" w:rsidR="00597E9C" w:rsidRDefault="00597E9C" w:rsidP="00597E9C">
      <w:pPr>
        <w:jc w:val="center"/>
        <w:rPr>
          <w:b/>
          <w:sz w:val="28"/>
        </w:rPr>
      </w:pPr>
    </w:p>
    <w:p w14:paraId="22E857A8" w14:textId="77777777" w:rsidR="00DE75F6" w:rsidRDefault="00DE75F6" w:rsidP="00597E9C">
      <w:pPr>
        <w:jc w:val="center"/>
        <w:rPr>
          <w:b/>
          <w:sz w:val="28"/>
        </w:rPr>
      </w:pPr>
    </w:p>
    <w:p w14:paraId="19304ECD" w14:textId="77777777" w:rsidR="00597E9C" w:rsidRDefault="00597E9C" w:rsidP="00597E9C">
      <w:pPr>
        <w:jc w:val="center"/>
        <w:rPr>
          <w:b/>
          <w:sz w:val="28"/>
        </w:rPr>
      </w:pPr>
    </w:p>
    <w:p w14:paraId="1E7AF2C8" w14:textId="323E6380" w:rsidR="00597E9C" w:rsidRPr="00597E9C" w:rsidRDefault="00597E9C" w:rsidP="000531C8">
      <w:pPr>
        <w:jc w:val="center"/>
        <w:rPr>
          <w:b/>
          <w:sz w:val="56"/>
          <w:szCs w:val="56"/>
        </w:rPr>
      </w:pPr>
      <w:r w:rsidRPr="00597E9C">
        <w:rPr>
          <w:b/>
          <w:sz w:val="56"/>
          <w:szCs w:val="56"/>
        </w:rPr>
        <w:t xml:space="preserve">GFMD 2019 - Draft </w:t>
      </w:r>
      <w:r w:rsidR="000531C8">
        <w:rPr>
          <w:b/>
          <w:sz w:val="56"/>
          <w:szCs w:val="56"/>
        </w:rPr>
        <w:t>C</w:t>
      </w:r>
      <w:r w:rsidRPr="00597E9C">
        <w:rPr>
          <w:b/>
          <w:sz w:val="56"/>
          <w:szCs w:val="56"/>
        </w:rPr>
        <w:t>oncept</w:t>
      </w:r>
      <w:r w:rsidR="000531C8">
        <w:rPr>
          <w:b/>
          <w:sz w:val="56"/>
          <w:szCs w:val="56"/>
        </w:rPr>
        <w:t xml:space="preserve"> </w:t>
      </w:r>
      <w:r w:rsidR="00826ADA">
        <w:rPr>
          <w:b/>
          <w:sz w:val="56"/>
          <w:szCs w:val="56"/>
        </w:rPr>
        <w:t>Paper</w:t>
      </w:r>
    </w:p>
    <w:p w14:paraId="3DB62521" w14:textId="4D48F169" w:rsidR="00597E9C" w:rsidRDefault="00597E9C" w:rsidP="00403BAF">
      <w:pPr>
        <w:jc w:val="center"/>
        <w:rPr>
          <w:b/>
          <w:sz w:val="28"/>
        </w:rPr>
      </w:pPr>
      <w:r w:rsidRPr="00597E9C">
        <w:rPr>
          <w:b/>
          <w:noProof/>
          <w:sz w:val="28"/>
        </w:rPr>
        <mc:AlternateContent>
          <mc:Choice Requires="wps">
            <w:drawing>
              <wp:anchor distT="45720" distB="45720" distL="114300" distR="114300" simplePos="0" relativeHeight="251659264" behindDoc="0" locked="0" layoutInCell="1" allowOverlap="1" wp14:anchorId="74984105" wp14:editId="29021AE2">
                <wp:simplePos x="0" y="0"/>
                <wp:positionH relativeFrom="margin">
                  <wp:align>center</wp:align>
                </wp:positionH>
                <wp:positionV relativeFrom="paragraph">
                  <wp:posOffset>10160</wp:posOffset>
                </wp:positionV>
                <wp:extent cx="4964430" cy="1591945"/>
                <wp:effectExtent l="0" t="0" r="762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4430" cy="1591945"/>
                        </a:xfrm>
                        <a:prstGeom prst="rect">
                          <a:avLst/>
                        </a:prstGeom>
                        <a:solidFill>
                          <a:srgbClr val="FFFFFF"/>
                        </a:solidFill>
                        <a:ln w="9525">
                          <a:noFill/>
                          <a:miter lim="800000"/>
                          <a:headEnd/>
                          <a:tailEnd/>
                        </a:ln>
                      </wps:spPr>
                      <wps:txbx>
                        <w:txbxContent>
                          <w:p w14:paraId="621E0878" w14:textId="4A98B6FD" w:rsidR="00597E9C" w:rsidRPr="00597E9C" w:rsidRDefault="00597E9C" w:rsidP="00597E9C">
                            <w:pPr>
                              <w:pStyle w:val="Heading1"/>
                              <w:tabs>
                                <w:tab w:val="left" w:pos="567"/>
                              </w:tabs>
                              <w:spacing w:before="120"/>
                              <w:jc w:val="center"/>
                              <w:rPr>
                                <w:b/>
                                <w:i/>
                                <w:color w:val="auto"/>
                                <w:sz w:val="40"/>
                                <w:szCs w:val="40"/>
                              </w:rPr>
                            </w:pPr>
                            <w:bookmarkStart w:id="0" w:name="_Toc1038528"/>
                            <w:r w:rsidRPr="00597E9C">
                              <w:rPr>
                                <w:b/>
                                <w:i/>
                                <w:color w:val="auto"/>
                                <w:sz w:val="40"/>
                                <w:szCs w:val="40"/>
                              </w:rPr>
                              <w:t>Sustainable approaches to human mobility: Upholding rights, strengthening state agency, and advancing development through partnerships and collective action</w:t>
                            </w:r>
                            <w:bookmarkEnd w:id="0"/>
                          </w:p>
                          <w:p w14:paraId="40E7D378" w14:textId="3C455348" w:rsidR="00597E9C" w:rsidRDefault="00597E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984105" id="_x0000_t202" coordsize="21600,21600" o:spt="202" path="m,l,21600r21600,l21600,xe">
                <v:stroke joinstyle="miter"/>
                <v:path gradientshapeok="t" o:connecttype="rect"/>
              </v:shapetype>
              <v:shape id="Text Box 2" o:spid="_x0000_s1026" type="#_x0000_t202" style="position:absolute;left:0;text-align:left;margin-left:0;margin-top:.8pt;width:390.9pt;height:125.3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" stroked="f">
                <v:textbox>
                  <w:txbxContent>
                    <w:p w14:paraId="621E0878" w14:textId="4A98B6FD" w:rsidR="00597E9C" w:rsidRPr="00597E9C" w:rsidRDefault="00597E9C" w:rsidP="00597E9C">
                      <w:pPr>
                        <w:pStyle w:val="Heading1"/>
                        <w:tabs>
                          <w:tab w:val="left" w:pos="567"/>
                        </w:tabs>
                        <w:spacing w:before="120"/>
                        <w:jc w:val="center"/>
                        <w:rPr>
                          <w:b/>
                          <w:i/>
                          <w:color w:val="auto"/>
                          <w:sz w:val="40"/>
                          <w:szCs w:val="40"/>
                        </w:rPr>
                      </w:pPr>
                      <w:bookmarkStart w:id="1" w:name="_Toc1038528"/>
                      <w:r w:rsidRPr="00597E9C">
                        <w:rPr>
                          <w:b/>
                          <w:i/>
                          <w:color w:val="auto"/>
                          <w:sz w:val="40"/>
                          <w:szCs w:val="40"/>
                        </w:rPr>
                        <w:t>Sustainable approaches to human mobility: Upholding rights, strengthening state agency, and advancing development through partnerships and collective action</w:t>
                      </w:r>
                      <w:bookmarkEnd w:id="1"/>
                    </w:p>
                    <w:p w14:paraId="40E7D378" w14:textId="3C455348" w:rsidR="00597E9C" w:rsidRDefault="00597E9C"/>
                  </w:txbxContent>
                </v:textbox>
                <w10:wrap type="square" anchorx="margin"/>
              </v:shape>
            </w:pict>
          </mc:Fallback>
        </mc:AlternateContent>
      </w:r>
    </w:p>
    <w:p w14:paraId="67858F2F" w14:textId="02622C34" w:rsidR="00597E9C" w:rsidRDefault="000531C8">
      <w:pPr>
        <w:rPr>
          <w:b/>
          <w:sz w:val="28"/>
        </w:rPr>
      </w:pPr>
      <w:r w:rsidRPr="000531C8">
        <w:rPr>
          <w:b/>
          <w:noProof/>
          <w:sz w:val="28"/>
        </w:rPr>
        <w:drawing>
          <wp:anchor distT="0" distB="0" distL="114300" distR="114300" simplePos="0" relativeHeight="251661312" behindDoc="0" locked="0" layoutInCell="1" allowOverlap="1" wp14:anchorId="63319D4D" wp14:editId="524BDC2F">
            <wp:simplePos x="0" y="0"/>
            <wp:positionH relativeFrom="margin">
              <wp:align>right</wp:align>
            </wp:positionH>
            <wp:positionV relativeFrom="paragraph">
              <wp:posOffset>3847021</wp:posOffset>
            </wp:positionV>
            <wp:extent cx="1477925" cy="1131711"/>
            <wp:effectExtent l="0" t="0" r="8255"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7925" cy="1131711"/>
                    </a:xfrm>
                    <a:prstGeom prst="rect">
                      <a:avLst/>
                    </a:prstGeom>
                  </pic:spPr>
                </pic:pic>
              </a:graphicData>
            </a:graphic>
            <wp14:sizeRelH relativeFrom="page">
              <wp14:pctWidth>0</wp14:pctWidth>
            </wp14:sizeRelH>
            <wp14:sizeRelV relativeFrom="page">
              <wp14:pctHeight>0</wp14:pctHeight>
            </wp14:sizeRelV>
          </wp:anchor>
        </w:drawing>
      </w:r>
      <w:r w:rsidRPr="000531C8">
        <w:rPr>
          <w:b/>
          <w:noProof/>
          <w:sz w:val="28"/>
        </w:rPr>
        <w:drawing>
          <wp:anchor distT="0" distB="0" distL="114300" distR="114300" simplePos="0" relativeHeight="251660288" behindDoc="0" locked="0" layoutInCell="1" allowOverlap="1" wp14:anchorId="27C16E34" wp14:editId="7E28CAF0">
            <wp:simplePos x="0" y="0"/>
            <wp:positionH relativeFrom="margin">
              <wp:align>left</wp:align>
            </wp:positionH>
            <wp:positionV relativeFrom="paragraph">
              <wp:posOffset>3649345</wp:posOffset>
            </wp:positionV>
            <wp:extent cx="2083981" cy="1325748"/>
            <wp:effectExtent l="0" t="0" r="0" b="8255"/>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10">
                      <a:extLst>
                        <a:ext uri="{28A0092B-C50C-407E-A947-70E740481C1C}">
                          <a14:useLocalDpi xmlns:a14="http://schemas.microsoft.com/office/drawing/2010/main" val="0"/>
                        </a:ext>
                      </a:extLst>
                    </a:blip>
                    <a:srcRect l="72668" t="21261" r="7365" b="56156"/>
                    <a:stretch/>
                  </pic:blipFill>
                  <pic:spPr>
                    <a:xfrm>
                      <a:off x="0" y="0"/>
                      <a:ext cx="2083981" cy="1325748"/>
                    </a:xfrm>
                    <a:prstGeom prst="rect">
                      <a:avLst/>
                    </a:prstGeom>
                  </pic:spPr>
                </pic:pic>
              </a:graphicData>
            </a:graphic>
            <wp14:sizeRelH relativeFrom="page">
              <wp14:pctWidth>0</wp14:pctWidth>
            </wp14:sizeRelH>
            <wp14:sizeRelV relativeFrom="page">
              <wp14:pctHeight>0</wp14:pctHeight>
            </wp14:sizeRelV>
          </wp:anchor>
        </w:drawing>
      </w:r>
      <w:r w:rsidR="00597E9C">
        <w:rPr>
          <w:b/>
          <w:sz w:val="28"/>
        </w:rPr>
        <w:br w:type="page"/>
      </w:r>
    </w:p>
    <w:sdt>
      <w:sdtPr>
        <w:rPr>
          <w:rFonts w:asciiTheme="minorHAnsi" w:eastAsiaTheme="minorHAnsi" w:hAnsiTheme="minorHAnsi" w:cstheme="minorBidi"/>
          <w:color w:val="auto"/>
          <w:sz w:val="22"/>
          <w:szCs w:val="22"/>
        </w:rPr>
        <w:id w:val="-68274477"/>
        <w:docPartObj>
          <w:docPartGallery w:val="Table of Contents"/>
          <w:docPartUnique/>
        </w:docPartObj>
      </w:sdtPr>
      <w:sdtEndPr>
        <w:rPr>
          <w:b/>
          <w:bCs/>
          <w:noProof/>
        </w:rPr>
      </w:sdtEndPr>
      <w:sdtContent>
        <w:p w14:paraId="44A27DF1" w14:textId="28C64EEF" w:rsidR="006870F5" w:rsidRPr="006870F5" w:rsidRDefault="006870F5" w:rsidP="006870F5">
          <w:pPr>
            <w:pStyle w:val="TOCHeading"/>
          </w:pPr>
          <w:r>
            <w:t>Contents</w:t>
          </w:r>
        </w:p>
        <w:p w14:paraId="661E70D6" w14:textId="7EF6DCD2" w:rsidR="00C3783E" w:rsidRDefault="00C3783E">
          <w:pPr>
            <w:pStyle w:val="TOC1"/>
            <w:tabs>
              <w:tab w:val="right" w:leader="dot" w:pos="9017"/>
            </w:tabs>
            <w:rPr>
              <w:rFonts w:eastAsiaTheme="minorEastAsia"/>
              <w:noProof/>
            </w:rPr>
          </w:pPr>
          <w:r>
            <w:rPr>
              <w:b/>
              <w:bCs/>
              <w:noProof/>
            </w:rPr>
            <w:fldChar w:fldCharType="begin"/>
          </w:r>
          <w:r>
            <w:rPr>
              <w:b/>
              <w:bCs/>
              <w:noProof/>
            </w:rPr>
            <w:instrText xml:space="preserve"> TOC \o "1-4" \h \z \u </w:instrText>
          </w:r>
          <w:r>
            <w:rPr>
              <w:b/>
              <w:bCs/>
              <w:noProof/>
            </w:rPr>
            <w:fldChar w:fldCharType="separate"/>
          </w:r>
        </w:p>
        <w:p w14:paraId="38DBA253" w14:textId="77777777" w:rsidR="00C3783E" w:rsidRDefault="004205D5">
          <w:pPr>
            <w:pStyle w:val="TOC2"/>
            <w:tabs>
              <w:tab w:val="right" w:leader="dot" w:pos="9017"/>
            </w:tabs>
            <w:rPr>
              <w:rFonts w:eastAsiaTheme="minorEastAsia"/>
              <w:noProof/>
            </w:rPr>
          </w:pPr>
          <w:hyperlink w:anchor="_Toc1038529" w:history="1">
            <w:r w:rsidR="00C3783E" w:rsidRPr="00172A9A">
              <w:rPr>
                <w:rStyle w:val="Hyperlink"/>
                <w:b/>
                <w:i/>
                <w:noProof/>
              </w:rPr>
              <w:t>Introduction</w:t>
            </w:r>
            <w:r w:rsidR="00C3783E">
              <w:rPr>
                <w:noProof/>
                <w:webHidden/>
              </w:rPr>
              <w:tab/>
            </w:r>
            <w:r w:rsidR="00C3783E">
              <w:rPr>
                <w:noProof/>
                <w:webHidden/>
              </w:rPr>
              <w:fldChar w:fldCharType="begin"/>
            </w:r>
            <w:r w:rsidR="00C3783E">
              <w:rPr>
                <w:noProof/>
                <w:webHidden/>
              </w:rPr>
              <w:instrText xml:space="preserve"> PAGEREF _Toc1038529 \h </w:instrText>
            </w:r>
            <w:r w:rsidR="00C3783E">
              <w:rPr>
                <w:noProof/>
                <w:webHidden/>
              </w:rPr>
            </w:r>
            <w:r w:rsidR="00C3783E">
              <w:rPr>
                <w:noProof/>
                <w:webHidden/>
              </w:rPr>
              <w:fldChar w:fldCharType="separate"/>
            </w:r>
            <w:r w:rsidR="009D1E70">
              <w:rPr>
                <w:noProof/>
                <w:webHidden/>
              </w:rPr>
              <w:t>1</w:t>
            </w:r>
            <w:r w:rsidR="00C3783E">
              <w:rPr>
                <w:noProof/>
                <w:webHidden/>
              </w:rPr>
              <w:fldChar w:fldCharType="end"/>
            </w:r>
          </w:hyperlink>
        </w:p>
        <w:p w14:paraId="5CEF2929" w14:textId="2EEA883C" w:rsidR="00C3783E" w:rsidRDefault="004205D5">
          <w:pPr>
            <w:pStyle w:val="TOC2"/>
            <w:tabs>
              <w:tab w:val="right" w:leader="dot" w:pos="9017"/>
            </w:tabs>
            <w:rPr>
              <w:rFonts w:eastAsiaTheme="minorEastAsia"/>
              <w:noProof/>
            </w:rPr>
          </w:pPr>
          <w:hyperlink w:anchor="_Toc1038530" w:history="1">
            <w:r w:rsidR="00C3783E" w:rsidRPr="00172A9A">
              <w:rPr>
                <w:rStyle w:val="Hyperlink"/>
                <w:b/>
                <w:i/>
                <w:noProof/>
              </w:rPr>
              <w:t>Substantive priorities</w:t>
            </w:r>
            <w:r w:rsidR="00C3783E">
              <w:rPr>
                <w:noProof/>
                <w:webHidden/>
              </w:rPr>
              <w:tab/>
            </w:r>
            <w:r w:rsidR="00C3783E">
              <w:rPr>
                <w:noProof/>
                <w:webHidden/>
              </w:rPr>
              <w:fldChar w:fldCharType="begin"/>
            </w:r>
            <w:r w:rsidR="00C3783E">
              <w:rPr>
                <w:noProof/>
                <w:webHidden/>
              </w:rPr>
              <w:instrText xml:space="preserve"> PAGEREF _Toc1038530 \h </w:instrText>
            </w:r>
            <w:r w:rsidR="00C3783E">
              <w:rPr>
                <w:noProof/>
                <w:webHidden/>
              </w:rPr>
            </w:r>
            <w:r w:rsidR="00C3783E">
              <w:rPr>
                <w:noProof/>
                <w:webHidden/>
              </w:rPr>
              <w:fldChar w:fldCharType="separate"/>
            </w:r>
            <w:r w:rsidR="009D1E70">
              <w:rPr>
                <w:noProof/>
                <w:webHidden/>
              </w:rPr>
              <w:t>2</w:t>
            </w:r>
            <w:r w:rsidR="00C3783E">
              <w:rPr>
                <w:noProof/>
                <w:webHidden/>
              </w:rPr>
              <w:fldChar w:fldCharType="end"/>
            </w:r>
          </w:hyperlink>
        </w:p>
        <w:p w14:paraId="5E0AF005" w14:textId="7332FBF9" w:rsidR="00C3783E" w:rsidRDefault="004205D5" w:rsidP="00C3783E">
          <w:pPr>
            <w:pStyle w:val="TOC3"/>
            <w:numPr>
              <w:ilvl w:val="0"/>
              <w:numId w:val="49"/>
            </w:numPr>
            <w:tabs>
              <w:tab w:val="left" w:pos="1100"/>
              <w:tab w:val="right" w:leader="dot" w:pos="9017"/>
            </w:tabs>
            <w:rPr>
              <w:rFonts w:eastAsiaTheme="minorEastAsia"/>
              <w:noProof/>
            </w:rPr>
          </w:pPr>
          <w:hyperlink w:anchor="_Toc1038531" w:history="1">
            <w:r w:rsidR="00C3783E" w:rsidRPr="00172A9A">
              <w:rPr>
                <w:rStyle w:val="Hyperlink"/>
                <w:noProof/>
              </w:rPr>
              <w:t xml:space="preserve">Joint responses to mixed migration flows: Partnerships and collective action to </w:t>
            </w:r>
            <w:r w:rsidR="00C3783E">
              <w:rPr>
                <w:rStyle w:val="Hyperlink"/>
                <w:noProof/>
              </w:rPr>
              <w:br/>
            </w:r>
            <w:r w:rsidR="00C3783E" w:rsidRPr="00172A9A">
              <w:rPr>
                <w:rStyle w:val="Hyperlink"/>
                <w:noProof/>
              </w:rPr>
              <w:t>protect rights</w:t>
            </w:r>
            <w:r w:rsidR="00C3783E">
              <w:rPr>
                <w:noProof/>
                <w:webHidden/>
              </w:rPr>
              <w:tab/>
            </w:r>
            <w:r w:rsidR="00C3783E">
              <w:rPr>
                <w:noProof/>
                <w:webHidden/>
              </w:rPr>
              <w:fldChar w:fldCharType="begin"/>
            </w:r>
            <w:r w:rsidR="00C3783E">
              <w:rPr>
                <w:noProof/>
                <w:webHidden/>
              </w:rPr>
              <w:instrText xml:space="preserve"> PAGEREF _Toc1038531 \h </w:instrText>
            </w:r>
            <w:r w:rsidR="00C3783E">
              <w:rPr>
                <w:noProof/>
                <w:webHidden/>
              </w:rPr>
            </w:r>
            <w:r w:rsidR="00C3783E">
              <w:rPr>
                <w:noProof/>
                <w:webHidden/>
              </w:rPr>
              <w:fldChar w:fldCharType="separate"/>
            </w:r>
            <w:r w:rsidR="009D1E70">
              <w:rPr>
                <w:noProof/>
                <w:webHidden/>
              </w:rPr>
              <w:t>2</w:t>
            </w:r>
            <w:r w:rsidR="00C3783E">
              <w:rPr>
                <w:noProof/>
                <w:webHidden/>
              </w:rPr>
              <w:fldChar w:fldCharType="end"/>
            </w:r>
          </w:hyperlink>
        </w:p>
        <w:p w14:paraId="64A6DFC2" w14:textId="77777777" w:rsidR="00C3783E" w:rsidRDefault="004205D5">
          <w:pPr>
            <w:pStyle w:val="TOC4"/>
            <w:tabs>
              <w:tab w:val="right" w:leader="dot" w:pos="9017"/>
            </w:tabs>
            <w:rPr>
              <w:noProof/>
            </w:rPr>
          </w:pPr>
          <w:hyperlink w:anchor="_Toc1038532" w:history="1">
            <w:r w:rsidR="00C3783E" w:rsidRPr="00172A9A">
              <w:rPr>
                <w:rStyle w:val="Hyperlink"/>
                <w:noProof/>
              </w:rPr>
              <w:t>Roundtable 1.1: Providing legal pathways from crisis to safety</w:t>
            </w:r>
            <w:r w:rsidR="00C3783E">
              <w:rPr>
                <w:noProof/>
                <w:webHidden/>
              </w:rPr>
              <w:tab/>
            </w:r>
            <w:r w:rsidR="00C3783E">
              <w:rPr>
                <w:noProof/>
                <w:webHidden/>
              </w:rPr>
              <w:fldChar w:fldCharType="begin"/>
            </w:r>
            <w:r w:rsidR="00C3783E">
              <w:rPr>
                <w:noProof/>
                <w:webHidden/>
              </w:rPr>
              <w:instrText xml:space="preserve"> PAGEREF _Toc1038532 \h </w:instrText>
            </w:r>
            <w:r w:rsidR="00C3783E">
              <w:rPr>
                <w:noProof/>
                <w:webHidden/>
              </w:rPr>
            </w:r>
            <w:r w:rsidR="00C3783E">
              <w:rPr>
                <w:noProof/>
                <w:webHidden/>
              </w:rPr>
              <w:fldChar w:fldCharType="separate"/>
            </w:r>
            <w:r w:rsidR="009D1E70">
              <w:rPr>
                <w:noProof/>
                <w:webHidden/>
              </w:rPr>
              <w:t>2</w:t>
            </w:r>
            <w:r w:rsidR="00C3783E">
              <w:rPr>
                <w:noProof/>
                <w:webHidden/>
              </w:rPr>
              <w:fldChar w:fldCharType="end"/>
            </w:r>
          </w:hyperlink>
        </w:p>
        <w:p w14:paraId="70E2FD8D" w14:textId="77777777" w:rsidR="00C3783E" w:rsidRDefault="004205D5">
          <w:pPr>
            <w:pStyle w:val="TOC4"/>
            <w:tabs>
              <w:tab w:val="right" w:leader="dot" w:pos="9017"/>
            </w:tabs>
            <w:rPr>
              <w:noProof/>
            </w:rPr>
          </w:pPr>
          <w:hyperlink w:anchor="_Toc1038533" w:history="1">
            <w:r w:rsidR="00C3783E" w:rsidRPr="00172A9A">
              <w:rPr>
                <w:rStyle w:val="Hyperlink"/>
                <w:noProof/>
              </w:rPr>
              <w:t>Roundtable 1.2: Facilitating social and economic inclusion</w:t>
            </w:r>
            <w:r w:rsidR="00C3783E">
              <w:rPr>
                <w:noProof/>
                <w:webHidden/>
              </w:rPr>
              <w:tab/>
            </w:r>
            <w:r w:rsidR="00C3783E">
              <w:rPr>
                <w:noProof/>
                <w:webHidden/>
              </w:rPr>
              <w:fldChar w:fldCharType="begin"/>
            </w:r>
            <w:r w:rsidR="00C3783E">
              <w:rPr>
                <w:noProof/>
                <w:webHidden/>
              </w:rPr>
              <w:instrText xml:space="preserve"> PAGEREF _Toc1038533 \h </w:instrText>
            </w:r>
            <w:r w:rsidR="00C3783E">
              <w:rPr>
                <w:noProof/>
                <w:webHidden/>
              </w:rPr>
            </w:r>
            <w:r w:rsidR="00C3783E">
              <w:rPr>
                <w:noProof/>
                <w:webHidden/>
              </w:rPr>
              <w:fldChar w:fldCharType="separate"/>
            </w:r>
            <w:r w:rsidR="009D1E70">
              <w:rPr>
                <w:noProof/>
                <w:webHidden/>
              </w:rPr>
              <w:t>3</w:t>
            </w:r>
            <w:r w:rsidR="00C3783E">
              <w:rPr>
                <w:noProof/>
                <w:webHidden/>
              </w:rPr>
              <w:fldChar w:fldCharType="end"/>
            </w:r>
          </w:hyperlink>
        </w:p>
        <w:p w14:paraId="4F25EF86" w14:textId="4532EEAB" w:rsidR="00C3783E" w:rsidRDefault="004205D5" w:rsidP="00C3783E">
          <w:pPr>
            <w:pStyle w:val="TOC3"/>
            <w:numPr>
              <w:ilvl w:val="0"/>
              <w:numId w:val="49"/>
            </w:numPr>
            <w:tabs>
              <w:tab w:val="left" w:pos="1100"/>
              <w:tab w:val="right" w:leader="dot" w:pos="9017"/>
            </w:tabs>
            <w:rPr>
              <w:rFonts w:eastAsiaTheme="minorEastAsia"/>
              <w:noProof/>
            </w:rPr>
          </w:pPr>
          <w:hyperlink w:anchor="_Toc1038534" w:history="1">
            <w:r w:rsidR="00C3783E" w:rsidRPr="00172A9A">
              <w:rPr>
                <w:rStyle w:val="Hyperlink"/>
                <w:noProof/>
              </w:rPr>
              <w:t>Migration narratives and communication: What role, responsibility and resources do governments have?</w:t>
            </w:r>
            <w:r w:rsidR="00C3783E">
              <w:rPr>
                <w:noProof/>
                <w:webHidden/>
              </w:rPr>
              <w:tab/>
            </w:r>
            <w:r w:rsidR="00C3783E">
              <w:rPr>
                <w:noProof/>
                <w:webHidden/>
              </w:rPr>
              <w:fldChar w:fldCharType="begin"/>
            </w:r>
            <w:r w:rsidR="00C3783E">
              <w:rPr>
                <w:noProof/>
                <w:webHidden/>
              </w:rPr>
              <w:instrText xml:space="preserve"> PAGEREF _Toc1038534 \h </w:instrText>
            </w:r>
            <w:r w:rsidR="00C3783E">
              <w:rPr>
                <w:noProof/>
                <w:webHidden/>
              </w:rPr>
            </w:r>
            <w:r w:rsidR="00C3783E">
              <w:rPr>
                <w:noProof/>
                <w:webHidden/>
              </w:rPr>
              <w:fldChar w:fldCharType="separate"/>
            </w:r>
            <w:r w:rsidR="009D1E70">
              <w:rPr>
                <w:noProof/>
                <w:webHidden/>
              </w:rPr>
              <w:t>4</w:t>
            </w:r>
            <w:r w:rsidR="00C3783E">
              <w:rPr>
                <w:noProof/>
                <w:webHidden/>
              </w:rPr>
              <w:fldChar w:fldCharType="end"/>
            </w:r>
          </w:hyperlink>
        </w:p>
        <w:p w14:paraId="7D62D7B2" w14:textId="77777777" w:rsidR="00C3783E" w:rsidRDefault="004205D5">
          <w:pPr>
            <w:pStyle w:val="TOC4"/>
            <w:tabs>
              <w:tab w:val="right" w:leader="dot" w:pos="9017"/>
            </w:tabs>
            <w:rPr>
              <w:noProof/>
            </w:rPr>
          </w:pPr>
          <w:hyperlink w:anchor="_Toc1038535" w:history="1">
            <w:r w:rsidR="00C3783E" w:rsidRPr="00172A9A">
              <w:rPr>
                <w:rStyle w:val="Hyperlink"/>
                <w:noProof/>
              </w:rPr>
              <w:t>Roundtable 2.1: Shaping public narratives on migration and migrants</w:t>
            </w:r>
            <w:r w:rsidR="00C3783E">
              <w:rPr>
                <w:noProof/>
                <w:webHidden/>
              </w:rPr>
              <w:tab/>
            </w:r>
            <w:r w:rsidR="00C3783E">
              <w:rPr>
                <w:noProof/>
                <w:webHidden/>
              </w:rPr>
              <w:fldChar w:fldCharType="begin"/>
            </w:r>
            <w:r w:rsidR="00C3783E">
              <w:rPr>
                <w:noProof/>
                <w:webHidden/>
              </w:rPr>
              <w:instrText xml:space="preserve"> PAGEREF _Toc1038535 \h </w:instrText>
            </w:r>
            <w:r w:rsidR="00C3783E">
              <w:rPr>
                <w:noProof/>
                <w:webHidden/>
              </w:rPr>
            </w:r>
            <w:r w:rsidR="00C3783E">
              <w:rPr>
                <w:noProof/>
                <w:webHidden/>
              </w:rPr>
              <w:fldChar w:fldCharType="separate"/>
            </w:r>
            <w:r w:rsidR="009D1E70">
              <w:rPr>
                <w:noProof/>
                <w:webHidden/>
              </w:rPr>
              <w:t>4</w:t>
            </w:r>
            <w:r w:rsidR="00C3783E">
              <w:rPr>
                <w:noProof/>
                <w:webHidden/>
              </w:rPr>
              <w:fldChar w:fldCharType="end"/>
            </w:r>
          </w:hyperlink>
        </w:p>
        <w:p w14:paraId="53F9B6B5" w14:textId="77777777" w:rsidR="00C3783E" w:rsidRDefault="004205D5">
          <w:pPr>
            <w:pStyle w:val="TOC4"/>
            <w:tabs>
              <w:tab w:val="right" w:leader="dot" w:pos="9017"/>
            </w:tabs>
            <w:rPr>
              <w:noProof/>
            </w:rPr>
          </w:pPr>
          <w:hyperlink w:anchor="_Toc1038536" w:history="1">
            <w:r w:rsidR="00C3783E" w:rsidRPr="00172A9A">
              <w:rPr>
                <w:rStyle w:val="Hyperlink"/>
                <w:noProof/>
              </w:rPr>
              <w:t>Roundtable 2.2: Communicating effectively with migrants</w:t>
            </w:r>
            <w:r w:rsidR="00C3783E">
              <w:rPr>
                <w:noProof/>
                <w:webHidden/>
              </w:rPr>
              <w:tab/>
            </w:r>
            <w:r w:rsidR="00C3783E">
              <w:rPr>
                <w:noProof/>
                <w:webHidden/>
              </w:rPr>
              <w:fldChar w:fldCharType="begin"/>
            </w:r>
            <w:r w:rsidR="00C3783E">
              <w:rPr>
                <w:noProof/>
                <w:webHidden/>
              </w:rPr>
              <w:instrText xml:space="preserve"> PAGEREF _Toc1038536 \h </w:instrText>
            </w:r>
            <w:r w:rsidR="00C3783E">
              <w:rPr>
                <w:noProof/>
                <w:webHidden/>
              </w:rPr>
            </w:r>
            <w:r w:rsidR="00C3783E">
              <w:rPr>
                <w:noProof/>
                <w:webHidden/>
              </w:rPr>
              <w:fldChar w:fldCharType="separate"/>
            </w:r>
            <w:r w:rsidR="009D1E70">
              <w:rPr>
                <w:noProof/>
                <w:webHidden/>
              </w:rPr>
              <w:t>5</w:t>
            </w:r>
            <w:r w:rsidR="00C3783E">
              <w:rPr>
                <w:noProof/>
                <w:webHidden/>
              </w:rPr>
              <w:fldChar w:fldCharType="end"/>
            </w:r>
          </w:hyperlink>
        </w:p>
        <w:p w14:paraId="2DE31F16" w14:textId="00D9809D" w:rsidR="00C3783E" w:rsidRDefault="004205D5" w:rsidP="00C3783E">
          <w:pPr>
            <w:pStyle w:val="TOC3"/>
            <w:numPr>
              <w:ilvl w:val="0"/>
              <w:numId w:val="49"/>
            </w:numPr>
            <w:tabs>
              <w:tab w:val="left" w:pos="1100"/>
              <w:tab w:val="right" w:leader="dot" w:pos="9017"/>
            </w:tabs>
            <w:rPr>
              <w:rFonts w:eastAsiaTheme="minorEastAsia"/>
              <w:noProof/>
            </w:rPr>
          </w:pPr>
          <w:hyperlink w:anchor="_Toc1038537" w:history="1">
            <w:r w:rsidR="00C3783E" w:rsidRPr="00172A9A">
              <w:rPr>
                <w:rStyle w:val="Hyperlink"/>
                <w:noProof/>
              </w:rPr>
              <w:t>Addressing human mobility as part of urban and rural development strategies</w:t>
            </w:r>
            <w:r w:rsidR="00C3783E">
              <w:rPr>
                <w:noProof/>
                <w:webHidden/>
              </w:rPr>
              <w:tab/>
            </w:r>
            <w:r w:rsidR="00C3783E">
              <w:rPr>
                <w:noProof/>
                <w:webHidden/>
              </w:rPr>
              <w:fldChar w:fldCharType="begin"/>
            </w:r>
            <w:r w:rsidR="00C3783E">
              <w:rPr>
                <w:noProof/>
                <w:webHidden/>
              </w:rPr>
              <w:instrText xml:space="preserve"> PAGEREF _Toc1038537 \h </w:instrText>
            </w:r>
            <w:r w:rsidR="00C3783E">
              <w:rPr>
                <w:noProof/>
                <w:webHidden/>
              </w:rPr>
            </w:r>
            <w:r w:rsidR="00C3783E">
              <w:rPr>
                <w:noProof/>
                <w:webHidden/>
              </w:rPr>
              <w:fldChar w:fldCharType="separate"/>
            </w:r>
            <w:r w:rsidR="009D1E70">
              <w:rPr>
                <w:noProof/>
                <w:webHidden/>
              </w:rPr>
              <w:t>6</w:t>
            </w:r>
            <w:r w:rsidR="00C3783E">
              <w:rPr>
                <w:noProof/>
                <w:webHidden/>
              </w:rPr>
              <w:fldChar w:fldCharType="end"/>
            </w:r>
          </w:hyperlink>
        </w:p>
        <w:p w14:paraId="7D2C66F4" w14:textId="77777777" w:rsidR="00C3783E" w:rsidRDefault="004205D5">
          <w:pPr>
            <w:pStyle w:val="TOC4"/>
            <w:tabs>
              <w:tab w:val="right" w:leader="dot" w:pos="9017"/>
            </w:tabs>
            <w:rPr>
              <w:noProof/>
            </w:rPr>
          </w:pPr>
          <w:hyperlink w:anchor="_Toc1038538" w:history="1">
            <w:r w:rsidR="00C3783E" w:rsidRPr="00172A9A">
              <w:rPr>
                <w:rStyle w:val="Hyperlink"/>
                <w:noProof/>
              </w:rPr>
              <w:t>Roundtable 3.1: Supporting arrival cities through policy coherence and multi-stakeholder partnerships</w:t>
            </w:r>
            <w:r w:rsidR="00C3783E">
              <w:rPr>
                <w:noProof/>
                <w:webHidden/>
              </w:rPr>
              <w:tab/>
            </w:r>
            <w:r w:rsidR="00C3783E">
              <w:rPr>
                <w:noProof/>
                <w:webHidden/>
              </w:rPr>
              <w:fldChar w:fldCharType="begin"/>
            </w:r>
            <w:r w:rsidR="00C3783E">
              <w:rPr>
                <w:noProof/>
                <w:webHidden/>
              </w:rPr>
              <w:instrText xml:space="preserve"> PAGEREF _Toc1038538 \h </w:instrText>
            </w:r>
            <w:r w:rsidR="00C3783E">
              <w:rPr>
                <w:noProof/>
                <w:webHidden/>
              </w:rPr>
            </w:r>
            <w:r w:rsidR="00C3783E">
              <w:rPr>
                <w:noProof/>
                <w:webHidden/>
              </w:rPr>
              <w:fldChar w:fldCharType="separate"/>
            </w:r>
            <w:r w:rsidR="009D1E70">
              <w:rPr>
                <w:noProof/>
                <w:webHidden/>
              </w:rPr>
              <w:t>6</w:t>
            </w:r>
            <w:r w:rsidR="00C3783E">
              <w:rPr>
                <w:noProof/>
                <w:webHidden/>
              </w:rPr>
              <w:fldChar w:fldCharType="end"/>
            </w:r>
          </w:hyperlink>
        </w:p>
        <w:p w14:paraId="2B76A849" w14:textId="77777777" w:rsidR="00C3783E" w:rsidRDefault="004205D5">
          <w:pPr>
            <w:pStyle w:val="TOC4"/>
            <w:tabs>
              <w:tab w:val="right" w:leader="dot" w:pos="9017"/>
            </w:tabs>
            <w:rPr>
              <w:noProof/>
            </w:rPr>
          </w:pPr>
          <w:hyperlink w:anchor="_Toc1038539" w:history="1">
            <w:r w:rsidR="00C3783E" w:rsidRPr="00172A9A">
              <w:rPr>
                <w:rStyle w:val="Hyperlink"/>
                <w:noProof/>
              </w:rPr>
              <w:t>Roundtable 3.2: Harnessing migration for rural transformation and development</w:t>
            </w:r>
            <w:r w:rsidR="00C3783E">
              <w:rPr>
                <w:noProof/>
                <w:webHidden/>
              </w:rPr>
              <w:tab/>
            </w:r>
            <w:r w:rsidR="00C3783E">
              <w:rPr>
                <w:noProof/>
                <w:webHidden/>
              </w:rPr>
              <w:fldChar w:fldCharType="begin"/>
            </w:r>
            <w:r w:rsidR="00C3783E">
              <w:rPr>
                <w:noProof/>
                <w:webHidden/>
              </w:rPr>
              <w:instrText xml:space="preserve"> PAGEREF _Toc1038539 \h </w:instrText>
            </w:r>
            <w:r w:rsidR="00C3783E">
              <w:rPr>
                <w:noProof/>
                <w:webHidden/>
              </w:rPr>
            </w:r>
            <w:r w:rsidR="00C3783E">
              <w:rPr>
                <w:noProof/>
                <w:webHidden/>
              </w:rPr>
              <w:fldChar w:fldCharType="separate"/>
            </w:r>
            <w:r w:rsidR="009D1E70">
              <w:rPr>
                <w:noProof/>
                <w:webHidden/>
              </w:rPr>
              <w:t>7</w:t>
            </w:r>
            <w:r w:rsidR="00C3783E">
              <w:rPr>
                <w:noProof/>
                <w:webHidden/>
              </w:rPr>
              <w:fldChar w:fldCharType="end"/>
            </w:r>
          </w:hyperlink>
        </w:p>
        <w:p w14:paraId="0222C5ED" w14:textId="77777777" w:rsidR="00C3783E" w:rsidRDefault="004205D5">
          <w:pPr>
            <w:pStyle w:val="TOC2"/>
            <w:tabs>
              <w:tab w:val="right" w:leader="dot" w:pos="9017"/>
            </w:tabs>
            <w:rPr>
              <w:rFonts w:eastAsiaTheme="minorEastAsia"/>
              <w:noProof/>
            </w:rPr>
          </w:pPr>
          <w:hyperlink w:anchor="_Toc1038540" w:history="1">
            <w:r w:rsidR="00C3783E" w:rsidRPr="00172A9A">
              <w:rPr>
                <w:rStyle w:val="Hyperlink"/>
                <w:b/>
                <w:i/>
                <w:noProof/>
              </w:rPr>
              <w:t>Priorities for the GFMD process</w:t>
            </w:r>
            <w:r w:rsidR="00C3783E">
              <w:rPr>
                <w:noProof/>
                <w:webHidden/>
              </w:rPr>
              <w:tab/>
            </w:r>
            <w:r w:rsidR="00C3783E">
              <w:rPr>
                <w:noProof/>
                <w:webHidden/>
              </w:rPr>
              <w:fldChar w:fldCharType="begin"/>
            </w:r>
            <w:r w:rsidR="00C3783E">
              <w:rPr>
                <w:noProof/>
                <w:webHidden/>
              </w:rPr>
              <w:instrText xml:space="preserve"> PAGEREF _Toc1038540 \h </w:instrText>
            </w:r>
            <w:r w:rsidR="00C3783E">
              <w:rPr>
                <w:noProof/>
                <w:webHidden/>
              </w:rPr>
            </w:r>
            <w:r w:rsidR="00C3783E">
              <w:rPr>
                <w:noProof/>
                <w:webHidden/>
              </w:rPr>
              <w:fldChar w:fldCharType="separate"/>
            </w:r>
            <w:r w:rsidR="009D1E70">
              <w:rPr>
                <w:noProof/>
                <w:webHidden/>
              </w:rPr>
              <w:t>8</w:t>
            </w:r>
            <w:r w:rsidR="00C3783E">
              <w:rPr>
                <w:noProof/>
                <w:webHidden/>
              </w:rPr>
              <w:fldChar w:fldCharType="end"/>
            </w:r>
          </w:hyperlink>
        </w:p>
        <w:p w14:paraId="0B0FBA91" w14:textId="77777777" w:rsidR="00C3783E" w:rsidRDefault="004205D5">
          <w:pPr>
            <w:pStyle w:val="TOC3"/>
            <w:tabs>
              <w:tab w:val="right" w:leader="dot" w:pos="9017"/>
            </w:tabs>
            <w:rPr>
              <w:rFonts w:eastAsiaTheme="minorEastAsia"/>
              <w:noProof/>
            </w:rPr>
          </w:pPr>
          <w:hyperlink w:anchor="_Toc1038541" w:history="1">
            <w:r w:rsidR="00C3783E" w:rsidRPr="00172A9A">
              <w:rPr>
                <w:rStyle w:val="Hyperlink"/>
                <w:noProof/>
              </w:rPr>
              <w:t>Follow-up to the 10-year review</w:t>
            </w:r>
            <w:r w:rsidR="00C3783E">
              <w:rPr>
                <w:noProof/>
                <w:webHidden/>
              </w:rPr>
              <w:tab/>
            </w:r>
            <w:r w:rsidR="00C3783E">
              <w:rPr>
                <w:noProof/>
                <w:webHidden/>
              </w:rPr>
              <w:fldChar w:fldCharType="begin"/>
            </w:r>
            <w:r w:rsidR="00C3783E">
              <w:rPr>
                <w:noProof/>
                <w:webHidden/>
              </w:rPr>
              <w:instrText xml:space="preserve"> PAGEREF _Toc1038541 \h </w:instrText>
            </w:r>
            <w:r w:rsidR="00C3783E">
              <w:rPr>
                <w:noProof/>
                <w:webHidden/>
              </w:rPr>
            </w:r>
            <w:r w:rsidR="00C3783E">
              <w:rPr>
                <w:noProof/>
                <w:webHidden/>
              </w:rPr>
              <w:fldChar w:fldCharType="separate"/>
            </w:r>
            <w:r w:rsidR="009D1E70">
              <w:rPr>
                <w:noProof/>
                <w:webHidden/>
              </w:rPr>
              <w:t>8</w:t>
            </w:r>
            <w:r w:rsidR="00C3783E">
              <w:rPr>
                <w:noProof/>
                <w:webHidden/>
              </w:rPr>
              <w:fldChar w:fldCharType="end"/>
            </w:r>
          </w:hyperlink>
        </w:p>
        <w:p w14:paraId="7574F942" w14:textId="77777777" w:rsidR="00C3783E" w:rsidRDefault="004205D5">
          <w:pPr>
            <w:pStyle w:val="TOC3"/>
            <w:tabs>
              <w:tab w:val="right" w:leader="dot" w:pos="9017"/>
            </w:tabs>
            <w:rPr>
              <w:rFonts w:eastAsiaTheme="minorEastAsia"/>
              <w:noProof/>
            </w:rPr>
          </w:pPr>
          <w:hyperlink w:anchor="_Toc1038542" w:history="1">
            <w:r w:rsidR="00C3783E" w:rsidRPr="00172A9A">
              <w:rPr>
                <w:rStyle w:val="Hyperlink"/>
                <w:noProof/>
              </w:rPr>
              <w:t>Supporting implementation &amp; follow-up of international commitments</w:t>
            </w:r>
            <w:r w:rsidR="00C3783E">
              <w:rPr>
                <w:noProof/>
                <w:webHidden/>
              </w:rPr>
              <w:tab/>
            </w:r>
            <w:r w:rsidR="00C3783E">
              <w:rPr>
                <w:noProof/>
                <w:webHidden/>
              </w:rPr>
              <w:fldChar w:fldCharType="begin"/>
            </w:r>
            <w:r w:rsidR="00C3783E">
              <w:rPr>
                <w:noProof/>
                <w:webHidden/>
              </w:rPr>
              <w:instrText xml:space="preserve"> PAGEREF _Toc1038542 \h </w:instrText>
            </w:r>
            <w:r w:rsidR="00C3783E">
              <w:rPr>
                <w:noProof/>
                <w:webHidden/>
              </w:rPr>
            </w:r>
            <w:r w:rsidR="00C3783E">
              <w:rPr>
                <w:noProof/>
                <w:webHidden/>
              </w:rPr>
              <w:fldChar w:fldCharType="separate"/>
            </w:r>
            <w:r w:rsidR="009D1E70">
              <w:rPr>
                <w:noProof/>
                <w:webHidden/>
              </w:rPr>
              <w:t>10</w:t>
            </w:r>
            <w:r w:rsidR="00C3783E">
              <w:rPr>
                <w:noProof/>
                <w:webHidden/>
              </w:rPr>
              <w:fldChar w:fldCharType="end"/>
            </w:r>
          </w:hyperlink>
        </w:p>
        <w:p w14:paraId="238B4CBC" w14:textId="77777777" w:rsidR="00C3783E" w:rsidRDefault="004205D5">
          <w:pPr>
            <w:pStyle w:val="TOC3"/>
            <w:tabs>
              <w:tab w:val="right" w:leader="dot" w:pos="9017"/>
            </w:tabs>
            <w:rPr>
              <w:noProof/>
            </w:rPr>
          </w:pPr>
          <w:hyperlink w:anchor="_Toc1038543" w:history="1">
            <w:r w:rsidR="00C3783E" w:rsidRPr="00172A9A">
              <w:rPr>
                <w:rStyle w:val="Hyperlink"/>
                <w:noProof/>
              </w:rPr>
              <w:t>Thematic and regional meetings to address substantive and institutional priorities</w:t>
            </w:r>
            <w:r w:rsidR="00C3783E">
              <w:rPr>
                <w:noProof/>
                <w:webHidden/>
              </w:rPr>
              <w:tab/>
            </w:r>
            <w:r w:rsidR="00C3783E">
              <w:rPr>
                <w:noProof/>
                <w:webHidden/>
              </w:rPr>
              <w:fldChar w:fldCharType="begin"/>
            </w:r>
            <w:r w:rsidR="00C3783E">
              <w:rPr>
                <w:noProof/>
                <w:webHidden/>
              </w:rPr>
              <w:instrText xml:space="preserve"> PAGEREF _Toc1038543 \h </w:instrText>
            </w:r>
            <w:r w:rsidR="00C3783E">
              <w:rPr>
                <w:noProof/>
                <w:webHidden/>
              </w:rPr>
            </w:r>
            <w:r w:rsidR="00C3783E">
              <w:rPr>
                <w:noProof/>
                <w:webHidden/>
              </w:rPr>
              <w:fldChar w:fldCharType="separate"/>
            </w:r>
            <w:r w:rsidR="009D1E70">
              <w:rPr>
                <w:noProof/>
                <w:webHidden/>
              </w:rPr>
              <w:t>10</w:t>
            </w:r>
            <w:r w:rsidR="00C3783E">
              <w:rPr>
                <w:noProof/>
                <w:webHidden/>
              </w:rPr>
              <w:fldChar w:fldCharType="end"/>
            </w:r>
          </w:hyperlink>
        </w:p>
        <w:p w14:paraId="0269334B" w14:textId="7B84FBF4" w:rsidR="006870F5" w:rsidRDefault="00C93EC5">
          <w:r>
            <w:t xml:space="preserve">     </w:t>
          </w:r>
          <w:r w:rsidRPr="00C93EC5">
            <w:rPr>
              <w:b/>
            </w:rPr>
            <w:t>Conclusions</w:t>
          </w:r>
          <w:r>
            <w:t>......................................................................................................................................11</w:t>
          </w:r>
          <w:r w:rsidR="00C3783E">
            <w:rPr>
              <w:b/>
              <w:bCs/>
              <w:noProof/>
            </w:rPr>
            <w:fldChar w:fldCharType="end"/>
          </w:r>
        </w:p>
      </w:sdtContent>
    </w:sdt>
    <w:p w14:paraId="1BACAC83" w14:textId="77777777" w:rsidR="00D32C47" w:rsidRDefault="00D32C47">
      <w:pPr>
        <w:rPr>
          <w:rFonts w:asciiTheme="majorHAnsi" w:eastAsiaTheme="majorEastAsia" w:hAnsiTheme="majorHAnsi" w:cstheme="majorBidi"/>
          <w:color w:val="2F5496" w:themeColor="accent1" w:themeShade="BF"/>
          <w:sz w:val="32"/>
          <w:szCs w:val="32"/>
        </w:rPr>
      </w:pPr>
    </w:p>
    <w:p w14:paraId="3F4EB788" w14:textId="49E3A5E9" w:rsidR="000531C8" w:rsidRDefault="00C3783E">
      <w:pPr>
        <w:rPr>
          <w:b/>
          <w:sz w:val="28"/>
        </w:rPr>
      </w:pPr>
      <w:r w:rsidRPr="00C3783E">
        <w:rPr>
          <w:rFonts w:asciiTheme="majorHAnsi" w:eastAsiaTheme="majorEastAsia" w:hAnsiTheme="majorHAnsi" w:cstheme="majorBidi"/>
          <w:color w:val="2F5496" w:themeColor="accent1" w:themeShade="BF"/>
          <w:sz w:val="32"/>
          <w:szCs w:val="32"/>
        </w:rPr>
        <w:t>Acronyms</w:t>
      </w:r>
      <w:r>
        <w:rPr>
          <w:b/>
          <w:sz w:val="28"/>
        </w:rPr>
        <w:t xml:space="preserve"> </w:t>
      </w:r>
    </w:p>
    <w:p w14:paraId="5FAE1718" w14:textId="64414F83" w:rsidR="00661B89" w:rsidRDefault="00661B89" w:rsidP="00C3783E">
      <w:pPr>
        <w:spacing w:after="0" w:line="360" w:lineRule="auto"/>
      </w:pPr>
      <w:r>
        <w:t>CSO</w:t>
      </w:r>
      <w:r>
        <w:tab/>
        <w:t>Civil Society Organizations</w:t>
      </w:r>
    </w:p>
    <w:p w14:paraId="3253DF13" w14:textId="1E8E99C7" w:rsidR="00C3783E" w:rsidRDefault="00C3783E" w:rsidP="00C3783E">
      <w:pPr>
        <w:spacing w:after="0" w:line="360" w:lineRule="auto"/>
      </w:pPr>
      <w:r>
        <w:t>HLPF</w:t>
      </w:r>
      <w:r>
        <w:tab/>
        <w:t>High Level Political Forum</w:t>
      </w:r>
      <w:r w:rsidR="00661B89">
        <w:t xml:space="preserve"> on Sustainable Development</w:t>
      </w:r>
    </w:p>
    <w:p w14:paraId="49F7ADB2" w14:textId="6A58713C" w:rsidR="00C3783E" w:rsidRDefault="00C3783E" w:rsidP="00C3783E">
      <w:pPr>
        <w:spacing w:after="0" w:line="360" w:lineRule="auto"/>
      </w:pPr>
      <w:r>
        <w:t xml:space="preserve">GCM  </w:t>
      </w:r>
      <w:r>
        <w:tab/>
        <w:t>Global Compact for Migration</w:t>
      </w:r>
    </w:p>
    <w:p w14:paraId="0741C72A" w14:textId="4E7F3D79" w:rsidR="00C3783E" w:rsidRDefault="00C3783E" w:rsidP="00C3783E">
      <w:pPr>
        <w:spacing w:after="0" w:line="360" w:lineRule="auto"/>
      </w:pPr>
      <w:r>
        <w:t xml:space="preserve">GCM </w:t>
      </w:r>
      <w:r>
        <w:tab/>
        <w:t>Global Compact on Refugees</w:t>
      </w:r>
    </w:p>
    <w:p w14:paraId="501A2EF8" w14:textId="27336E87" w:rsidR="00C3783E" w:rsidRDefault="00C3783E" w:rsidP="00C3783E">
      <w:pPr>
        <w:spacing w:after="0" w:line="360" w:lineRule="auto"/>
      </w:pPr>
      <w:r>
        <w:t xml:space="preserve">GFMD  </w:t>
      </w:r>
      <w:r>
        <w:tab/>
        <w:t>Global Forum on Migration and Development</w:t>
      </w:r>
    </w:p>
    <w:p w14:paraId="28869AF8" w14:textId="4EF3EDEA" w:rsidR="00661B89" w:rsidRDefault="00661B89" w:rsidP="00C3783E">
      <w:pPr>
        <w:spacing w:after="0" w:line="360" w:lineRule="auto"/>
      </w:pPr>
      <w:r>
        <w:t>IOM</w:t>
      </w:r>
      <w:r>
        <w:tab/>
        <w:t>International Organization for Migration</w:t>
      </w:r>
    </w:p>
    <w:p w14:paraId="4F8EB265" w14:textId="305E9BBE" w:rsidR="00661B89" w:rsidRDefault="00661B89" w:rsidP="00C3783E">
      <w:pPr>
        <w:spacing w:after="0" w:line="360" w:lineRule="auto"/>
      </w:pPr>
      <w:r>
        <w:t>MM</w:t>
      </w:r>
      <w:r>
        <w:tab/>
        <w:t>Mayors Mechanism (GFMD partnership mechanism)</w:t>
      </w:r>
    </w:p>
    <w:p w14:paraId="625B6BF1" w14:textId="6848E539" w:rsidR="00661B89" w:rsidRDefault="00661B89" w:rsidP="00C3783E">
      <w:pPr>
        <w:spacing w:after="0" w:line="360" w:lineRule="auto"/>
      </w:pPr>
      <w:proofErr w:type="spellStart"/>
      <w:r>
        <w:t>PfP</w:t>
      </w:r>
      <w:proofErr w:type="spellEnd"/>
      <w:r>
        <w:tab/>
        <w:t>Platform for Partnerships (GFMD online platform)</w:t>
      </w:r>
    </w:p>
    <w:p w14:paraId="7F2D301C" w14:textId="2F275B45" w:rsidR="00C3783E" w:rsidRDefault="00C3783E" w:rsidP="00C3783E">
      <w:pPr>
        <w:spacing w:after="0" w:line="360" w:lineRule="auto"/>
      </w:pPr>
      <w:r>
        <w:t xml:space="preserve">NYD </w:t>
      </w:r>
      <w:r>
        <w:tab/>
        <w:t xml:space="preserve"> New York Declaration, 2016</w:t>
      </w:r>
    </w:p>
    <w:p w14:paraId="64947112" w14:textId="2DC29F60" w:rsidR="00C3783E" w:rsidRDefault="00C3783E" w:rsidP="00C3783E">
      <w:pPr>
        <w:spacing w:after="0" w:line="360" w:lineRule="auto"/>
      </w:pPr>
      <w:r>
        <w:t>SDG</w:t>
      </w:r>
      <w:r>
        <w:tab/>
        <w:t>Sustainable Development Goals</w:t>
      </w:r>
    </w:p>
    <w:p w14:paraId="388993B4" w14:textId="4D21D698" w:rsidR="00661B89" w:rsidRDefault="00661B89" w:rsidP="00C3783E">
      <w:pPr>
        <w:spacing w:after="0" w:line="360" w:lineRule="auto"/>
      </w:pPr>
      <w:r>
        <w:t>UCLG</w:t>
      </w:r>
      <w:r>
        <w:tab/>
        <w:t>United Cities and Local Government</w:t>
      </w:r>
    </w:p>
    <w:p w14:paraId="47062616" w14:textId="50A4352D" w:rsidR="006870F5" w:rsidRDefault="00661B89" w:rsidP="00D32C47">
      <w:pPr>
        <w:spacing w:after="0" w:line="360" w:lineRule="auto"/>
        <w:rPr>
          <w:b/>
          <w:sz w:val="28"/>
        </w:rPr>
      </w:pPr>
      <w:r>
        <w:t>UNICEF</w:t>
      </w:r>
      <w:r>
        <w:tab/>
        <w:t>U</w:t>
      </w:r>
      <w:r w:rsidRPr="00661B89">
        <w:t>nited Nations International Children's Emergency Fund</w:t>
      </w:r>
      <w:r w:rsidR="006870F5">
        <w:rPr>
          <w:b/>
          <w:sz w:val="28"/>
        </w:rPr>
        <w:br w:type="page"/>
      </w:r>
    </w:p>
    <w:p w14:paraId="4241F28C" w14:textId="77777777" w:rsidR="00597E9C" w:rsidRDefault="00597E9C" w:rsidP="00403BAF">
      <w:pPr>
        <w:jc w:val="center"/>
        <w:rPr>
          <w:b/>
          <w:sz w:val="28"/>
        </w:rPr>
        <w:sectPr w:rsidR="00597E9C" w:rsidSect="001C430A">
          <w:footerReference w:type="default" r:id="rId11"/>
          <w:pgSz w:w="11907" w:h="16839" w:code="9"/>
          <w:pgMar w:top="1296" w:right="1440" w:bottom="1152" w:left="1440" w:header="144" w:footer="144" w:gutter="0"/>
          <w:cols w:space="720"/>
          <w:docGrid w:linePitch="360"/>
        </w:sectPr>
      </w:pPr>
    </w:p>
    <w:p w14:paraId="1E1706A8" w14:textId="370C033B" w:rsidR="0017060A" w:rsidRDefault="00597E9C" w:rsidP="00597E9C">
      <w:pPr>
        <w:pStyle w:val="Heading2"/>
        <w:jc w:val="both"/>
        <w:rPr>
          <w:b/>
          <w:i/>
          <w:color w:val="auto"/>
          <w:sz w:val="28"/>
        </w:rPr>
      </w:pPr>
      <w:bookmarkStart w:id="1" w:name="_Toc1038529"/>
      <w:r w:rsidRPr="00597E9C">
        <w:rPr>
          <w:b/>
          <w:i/>
          <w:color w:val="auto"/>
          <w:sz w:val="28"/>
        </w:rPr>
        <w:lastRenderedPageBreak/>
        <w:t>Introduction</w:t>
      </w:r>
      <w:bookmarkEnd w:id="1"/>
    </w:p>
    <w:p w14:paraId="0ACB5C9E" w14:textId="77777777" w:rsidR="00597E9C" w:rsidRPr="00597E9C" w:rsidRDefault="00597E9C" w:rsidP="00597E9C"/>
    <w:p w14:paraId="75D49060" w14:textId="71489E8F" w:rsidR="00345A89" w:rsidRDefault="00C76EDC" w:rsidP="00A719A8">
      <w:pPr>
        <w:jc w:val="both"/>
      </w:pPr>
      <w:r>
        <w:t xml:space="preserve">The 2019 GFMD </w:t>
      </w:r>
      <w:r w:rsidR="00A32130">
        <w:t xml:space="preserve">comes at a </w:t>
      </w:r>
      <w:r w:rsidR="00415E4B">
        <w:t>very timely moment for global migration governance</w:t>
      </w:r>
      <w:r w:rsidR="0087703D">
        <w:t>:</w:t>
      </w:r>
      <w:r w:rsidR="00415E4B">
        <w:t xml:space="preserve"> The magnitude of the phenomenon of international migration </w:t>
      </w:r>
      <w:r w:rsidR="000422B5">
        <w:t xml:space="preserve">has </w:t>
      </w:r>
      <w:r w:rsidR="00415E4B">
        <w:t>led the international community to address the issue at the highest political level. The</w:t>
      </w:r>
      <w:r w:rsidR="00345A89">
        <w:t xml:space="preserve"> adoption of </w:t>
      </w:r>
      <w:r w:rsidR="009608A1">
        <w:t xml:space="preserve">two </w:t>
      </w:r>
      <w:r w:rsidR="00345A89">
        <w:t xml:space="preserve">Global Compacts </w:t>
      </w:r>
      <w:r w:rsidR="009608A1">
        <w:t xml:space="preserve">-- one </w:t>
      </w:r>
      <w:r w:rsidR="004664AD">
        <w:t xml:space="preserve">on Refugees </w:t>
      </w:r>
      <w:r w:rsidR="009608A1">
        <w:t xml:space="preserve">(GCR) </w:t>
      </w:r>
      <w:r w:rsidR="004664AD">
        <w:t xml:space="preserve">and </w:t>
      </w:r>
      <w:r w:rsidR="009608A1">
        <w:t xml:space="preserve">the other </w:t>
      </w:r>
      <w:r w:rsidR="004664AD">
        <w:t>for Safe, Regular and Orderly Migration</w:t>
      </w:r>
      <w:r w:rsidR="009608A1">
        <w:t xml:space="preserve"> (GCM)</w:t>
      </w:r>
      <w:r w:rsidR="004664AD">
        <w:t xml:space="preserve"> </w:t>
      </w:r>
      <w:r w:rsidR="00345A89">
        <w:t>in 2018</w:t>
      </w:r>
      <w:r w:rsidR="000422B5">
        <w:t xml:space="preserve"> --</w:t>
      </w:r>
      <w:r w:rsidR="00A32130">
        <w:t xml:space="preserve"> </w:t>
      </w:r>
      <w:r w:rsidR="00415E4B">
        <w:t xml:space="preserve">emphasizes the need to find solutions to this global challenge in a comprehensive manner at the local, national, regional and global levels. At the same time, both Compacts </w:t>
      </w:r>
      <w:r w:rsidR="0087703D">
        <w:t>and</w:t>
      </w:r>
      <w:r w:rsidR="00415E4B">
        <w:t xml:space="preserve"> the prominent inclusion of migration-related Sustainable Development Goals (SDGs) in the 2030 Agenda for Sustainable Development demonstrate </w:t>
      </w:r>
      <w:r w:rsidR="00A32130">
        <w:t xml:space="preserve">important convergence and </w:t>
      </w:r>
      <w:r w:rsidR="00345A89">
        <w:t xml:space="preserve">the possibility of broad </w:t>
      </w:r>
      <w:r>
        <w:t>consensus</w:t>
      </w:r>
      <w:r w:rsidR="00A32130">
        <w:t xml:space="preserve"> among States</w:t>
      </w:r>
      <w:r w:rsidR="00345A89">
        <w:t xml:space="preserve"> on what remain </w:t>
      </w:r>
      <w:r w:rsidR="00415E4B">
        <w:t xml:space="preserve">contested </w:t>
      </w:r>
      <w:r w:rsidR="00345A89">
        <w:t>political issues</w:t>
      </w:r>
      <w:r>
        <w:t xml:space="preserve">. </w:t>
      </w:r>
      <w:r w:rsidR="00345A89">
        <w:t xml:space="preserve">Yet, </w:t>
      </w:r>
      <w:r w:rsidR="00A32130">
        <w:t xml:space="preserve">the Compacts </w:t>
      </w:r>
      <w:r w:rsidR="00345A89">
        <w:t>do not enjoy universal endorsement and, e</w:t>
      </w:r>
      <w:r w:rsidR="00A32130">
        <w:t xml:space="preserve">specially </w:t>
      </w:r>
      <w:r w:rsidR="00345A89">
        <w:t xml:space="preserve">in </w:t>
      </w:r>
      <w:r w:rsidR="00D80D8E">
        <w:t>the case</w:t>
      </w:r>
      <w:r w:rsidR="00345A89">
        <w:t xml:space="preserve"> of the </w:t>
      </w:r>
      <w:r w:rsidR="0025092A">
        <w:t>GCM</w:t>
      </w:r>
      <w:r w:rsidR="00345A89">
        <w:t xml:space="preserve">, </w:t>
      </w:r>
      <w:r w:rsidR="000422B5">
        <w:t xml:space="preserve">have </w:t>
      </w:r>
      <w:r w:rsidR="00A0481C">
        <w:t xml:space="preserve">generated </w:t>
      </w:r>
      <w:r w:rsidR="00415E4B">
        <w:t xml:space="preserve">different viewpoints </w:t>
      </w:r>
      <w:r w:rsidR="0025092A">
        <w:t xml:space="preserve">in </w:t>
      </w:r>
      <w:r w:rsidR="004664AD">
        <w:t>some</w:t>
      </w:r>
      <w:r w:rsidR="0025092A">
        <w:t xml:space="preserve"> countries</w:t>
      </w:r>
      <w:r w:rsidR="00A0481C">
        <w:t xml:space="preserve">. </w:t>
      </w:r>
      <w:r w:rsidR="0025092A">
        <w:t xml:space="preserve">Meanwhile, large movements of refugees and migrants – which </w:t>
      </w:r>
      <w:r w:rsidR="00345A89">
        <w:t xml:space="preserve">led to the </w:t>
      </w:r>
      <w:r w:rsidR="004664AD">
        <w:t xml:space="preserve">adoption of the </w:t>
      </w:r>
      <w:r w:rsidR="00345A89">
        <w:t xml:space="preserve">New York Declaration </w:t>
      </w:r>
      <w:r w:rsidR="00AA4C07">
        <w:t xml:space="preserve">(NYD) </w:t>
      </w:r>
      <w:r w:rsidR="004664AD">
        <w:t xml:space="preserve">in 2016 </w:t>
      </w:r>
      <w:r w:rsidR="00345A89">
        <w:t xml:space="preserve">and the development of the </w:t>
      </w:r>
      <w:r w:rsidR="0025092A">
        <w:t xml:space="preserve">two </w:t>
      </w:r>
      <w:r w:rsidR="00345A89">
        <w:t>G</w:t>
      </w:r>
      <w:r w:rsidR="0025092A">
        <w:t xml:space="preserve">lobal </w:t>
      </w:r>
      <w:r w:rsidR="00345A89">
        <w:t>C</w:t>
      </w:r>
      <w:r w:rsidR="0025092A">
        <w:t>ompacts</w:t>
      </w:r>
      <w:r w:rsidR="00345A89">
        <w:t xml:space="preserve"> in the first place</w:t>
      </w:r>
      <w:r w:rsidR="0025092A">
        <w:t xml:space="preserve"> – r</w:t>
      </w:r>
      <w:r w:rsidR="00827236">
        <w:t>emain</w:t>
      </w:r>
      <w:r w:rsidR="000B396D">
        <w:t xml:space="preserve"> a</w:t>
      </w:r>
      <w:r w:rsidR="0025092A">
        <w:t xml:space="preserve"> pressing political, policy, and operational challenge</w:t>
      </w:r>
      <w:r w:rsidR="000B396D">
        <w:t xml:space="preserve">. </w:t>
      </w:r>
      <w:r w:rsidR="00191010">
        <w:t xml:space="preserve">If managed effectively, however, migration can benefit the development of countries of origin, transit and destination, while migrants </w:t>
      </w:r>
      <w:r w:rsidR="00D80D8E">
        <w:t>should be considered</w:t>
      </w:r>
      <w:r w:rsidR="00191010">
        <w:t xml:space="preserve"> central agents </w:t>
      </w:r>
      <w:r w:rsidR="00D80D8E">
        <w:t>in this respect</w:t>
      </w:r>
      <w:r w:rsidR="00191010">
        <w:t xml:space="preserve">. </w:t>
      </w:r>
    </w:p>
    <w:p w14:paraId="361A0E50" w14:textId="66DD93E5" w:rsidR="002043FE" w:rsidRDefault="0025092A" w:rsidP="00A719A8">
      <w:pPr>
        <w:jc w:val="both"/>
      </w:pPr>
      <w:r>
        <w:t>As E</w:t>
      </w:r>
      <w:r w:rsidR="00A32130">
        <w:t>cuador</w:t>
      </w:r>
      <w:r>
        <w:t xml:space="preserve"> assumes the </w:t>
      </w:r>
      <w:r w:rsidR="00A32130">
        <w:t xml:space="preserve">GFMD </w:t>
      </w:r>
      <w:r>
        <w:t>Chair</w:t>
      </w:r>
      <w:r w:rsidR="000E197A">
        <w:t>manship</w:t>
      </w:r>
      <w:r>
        <w:t xml:space="preserve">, </w:t>
      </w:r>
      <w:r w:rsidR="004C11A4">
        <w:t>one of its goals</w:t>
      </w:r>
      <w:r>
        <w:t xml:space="preserve"> for the process </w:t>
      </w:r>
      <w:r w:rsidR="00CA1169">
        <w:t xml:space="preserve">this year </w:t>
      </w:r>
      <w:r w:rsidR="000E197A">
        <w:t xml:space="preserve">is </w:t>
      </w:r>
      <w:r>
        <w:t xml:space="preserve">to play </w:t>
      </w:r>
      <w:r w:rsidR="00A32130">
        <w:t xml:space="preserve">a bridging role: to nurture common ground among </w:t>
      </w:r>
      <w:r>
        <w:t xml:space="preserve">governments </w:t>
      </w:r>
      <w:r w:rsidR="00A32130">
        <w:t>who</w:t>
      </w:r>
      <w:r>
        <w:t xml:space="preserve"> may</w:t>
      </w:r>
      <w:r w:rsidR="00A32130">
        <w:t xml:space="preserve"> </w:t>
      </w:r>
      <w:r w:rsidR="004C11A4">
        <w:t xml:space="preserve">have different perspectives </w:t>
      </w:r>
      <w:r w:rsidR="00A32130">
        <w:t>on the GCM</w:t>
      </w:r>
      <w:r>
        <w:t xml:space="preserve">; </w:t>
      </w:r>
      <w:r w:rsidR="00A32130">
        <w:t xml:space="preserve">and to bring </w:t>
      </w:r>
      <w:r w:rsidR="000E197A">
        <w:t xml:space="preserve">closer </w:t>
      </w:r>
      <w:r w:rsidR="00827236">
        <w:t xml:space="preserve">the two Global Compacts </w:t>
      </w:r>
      <w:r w:rsidR="00A32130">
        <w:t xml:space="preserve">where the realities of human mobility require integrated </w:t>
      </w:r>
      <w:r w:rsidR="00827236">
        <w:t>solutions</w:t>
      </w:r>
      <w:r>
        <w:t xml:space="preserve"> on the ground</w:t>
      </w:r>
      <w:r w:rsidR="00827236">
        <w:t xml:space="preserve">. </w:t>
      </w:r>
    </w:p>
    <w:p w14:paraId="10F8E0D3" w14:textId="7EC46485" w:rsidR="00C67E01" w:rsidRDefault="00345A89" w:rsidP="00A719A8">
      <w:pPr>
        <w:jc w:val="both"/>
        <w:rPr>
          <w:b/>
          <w:sz w:val="24"/>
          <w:szCs w:val="28"/>
        </w:rPr>
      </w:pPr>
      <w:r>
        <w:t xml:space="preserve">The Chair also seeks to strengthen </w:t>
      </w:r>
      <w:r w:rsidR="00957E45">
        <w:t xml:space="preserve">the dialogue </w:t>
      </w:r>
      <w:r>
        <w:t xml:space="preserve">among </w:t>
      </w:r>
      <w:r w:rsidR="00957E45">
        <w:t>GFMD stakeholders</w:t>
      </w:r>
      <w:r w:rsidR="00A76F76">
        <w:t xml:space="preserve"> –</w:t>
      </w:r>
      <w:r w:rsidR="00827236">
        <w:t xml:space="preserve"> </w:t>
      </w:r>
      <w:r w:rsidR="00957E45">
        <w:t>to which mayors will add their perspectives going forward</w:t>
      </w:r>
      <w:r w:rsidR="00191010">
        <w:t>.</w:t>
      </w:r>
      <w:r w:rsidR="00957E45">
        <w:t xml:space="preserve"> </w:t>
      </w:r>
      <w:r w:rsidR="00191010">
        <w:t>It is also in the interest of Ecuador to incorporate more systematically the inputs from the academia</w:t>
      </w:r>
      <w:r w:rsidR="004664AD">
        <w:t xml:space="preserve">, so that our </w:t>
      </w:r>
      <w:r w:rsidR="00957E45" w:rsidRPr="00AC3AF0">
        <w:t xml:space="preserve">policy deliberations </w:t>
      </w:r>
      <w:r w:rsidR="00AC3AF0">
        <w:t xml:space="preserve">benefit from </w:t>
      </w:r>
      <w:r w:rsidR="00AC3AF0" w:rsidRPr="00AC3AF0">
        <w:t xml:space="preserve">the </w:t>
      </w:r>
      <w:r w:rsidR="00957E45" w:rsidRPr="00AC3AF0">
        <w:t>best available evidence,</w:t>
      </w:r>
      <w:r w:rsidR="00AC3AF0" w:rsidRPr="00AC3AF0">
        <w:t xml:space="preserve"> </w:t>
      </w:r>
      <w:r w:rsidR="00C67E01" w:rsidRPr="00AC3AF0">
        <w:t>pinpoint gaps in our knowledge, and help inform research agendas.</w:t>
      </w:r>
      <w:r w:rsidR="00C67E01">
        <w:t xml:space="preserve"> </w:t>
      </w:r>
      <w:r w:rsidR="00AC3AF0">
        <w:t>Too often, m</w:t>
      </w:r>
      <w:r w:rsidR="00C67E01">
        <w:t>isinformation and misperceptions about migration and migrants and their societal impacts preva</w:t>
      </w:r>
      <w:r w:rsidR="00AC3AF0">
        <w:t>i</w:t>
      </w:r>
      <w:r w:rsidR="00C67E01">
        <w:t xml:space="preserve">l in countries of origin and destination. </w:t>
      </w:r>
      <w:r w:rsidR="00C67E01" w:rsidRPr="00A76F76">
        <w:t>Governments have a responsibility to explain and communicate their policies to the public</w:t>
      </w:r>
      <w:r w:rsidR="00A76F76">
        <w:t>, yet in an increasingly diverse and polarizing media environment, they compete for influence in shaping narrative</w:t>
      </w:r>
      <w:r w:rsidR="00CA1169">
        <w:t>s</w:t>
      </w:r>
      <w:r w:rsidR="00AC3AF0">
        <w:t xml:space="preserve"> on migration</w:t>
      </w:r>
      <w:r w:rsidR="00A76F76">
        <w:t>.</w:t>
      </w:r>
      <w:r w:rsidR="007C3797">
        <w:t xml:space="preserve"> </w:t>
      </w:r>
      <w:r w:rsidR="00191010">
        <w:t xml:space="preserve">The 2019 GFMD Chair will therefore seek to explore possibilities </w:t>
      </w:r>
      <w:r w:rsidR="00D80D8E">
        <w:t>to</w:t>
      </w:r>
      <w:r w:rsidR="00191010">
        <w:t xml:space="preserve"> bring the </w:t>
      </w:r>
      <w:r w:rsidR="00D80D8E">
        <w:t>academia</w:t>
      </w:r>
      <w:r w:rsidR="00191010">
        <w:t xml:space="preserve"> closer to the Forum as a way to 1) diversify the range of participation and 2) </w:t>
      </w:r>
      <w:r w:rsidR="007D1609">
        <w:t xml:space="preserve">create a stronger evidence base for informed policy choices. </w:t>
      </w:r>
    </w:p>
    <w:p w14:paraId="24A19317" w14:textId="764365FC" w:rsidR="00CD584A" w:rsidRDefault="00345A89" w:rsidP="00A719A8">
      <w:pPr>
        <w:jc w:val="both"/>
      </w:pPr>
      <w:r>
        <w:t>This year i</w:t>
      </w:r>
      <w:r w:rsidR="00B3351B">
        <w:t xml:space="preserve">n July, governments will </w:t>
      </w:r>
      <w:r>
        <w:t xml:space="preserve">for the first time </w:t>
      </w:r>
      <w:r w:rsidR="00B3351B">
        <w:t xml:space="preserve">be invited to report on actions they have taken to implement </w:t>
      </w:r>
      <w:r>
        <w:t xml:space="preserve">the central </w:t>
      </w:r>
      <w:r w:rsidR="00B3351B">
        <w:t xml:space="preserve">migration-related target in the </w:t>
      </w:r>
      <w:r w:rsidR="000E197A">
        <w:t>SDGs</w:t>
      </w:r>
      <w:r w:rsidR="00493FA7">
        <w:t xml:space="preserve">, target 10.7 </w:t>
      </w:r>
      <w:r>
        <w:t xml:space="preserve">on </w:t>
      </w:r>
      <w:r w:rsidRPr="009B6850">
        <w:t>“facilitating orderly, safe, regular and responsible migration and mobility of people”</w:t>
      </w:r>
      <w:r w:rsidR="00B3351B" w:rsidRPr="009B6850">
        <w:t>.</w:t>
      </w:r>
      <w:r w:rsidR="000E197A">
        <w:t xml:space="preserve"> The GFMD itself is again invited to contribute to the 2019 High-Level Political Forum on migration-related SDGs.</w:t>
      </w:r>
      <w:r w:rsidR="00B3351B" w:rsidRPr="009B6850">
        <w:t xml:space="preserve"> </w:t>
      </w:r>
      <w:r w:rsidR="00493FA7" w:rsidRPr="009B6850">
        <w:t>O</w:t>
      </w:r>
      <w:r w:rsidR="000B396D" w:rsidRPr="009B6850">
        <w:t>verarching trends</w:t>
      </w:r>
      <w:r w:rsidR="00493FA7" w:rsidRPr="009B6850">
        <w:t>,</w:t>
      </w:r>
      <w:r w:rsidR="00493FA7">
        <w:t xml:space="preserve"> such as </w:t>
      </w:r>
      <w:r w:rsidR="000B396D">
        <w:t>population growth and ageing, rapid urbanization, and the increasing impacts of climate change</w:t>
      </w:r>
      <w:r w:rsidR="00493FA7">
        <w:t xml:space="preserve"> suggest </w:t>
      </w:r>
      <w:r w:rsidR="000B396D">
        <w:t>a continued increase in human mobility this century</w:t>
      </w:r>
      <w:r w:rsidR="00493FA7">
        <w:t>. L</w:t>
      </w:r>
      <w:r w:rsidR="000B396D">
        <w:t xml:space="preserve">arge movements </w:t>
      </w:r>
      <w:r w:rsidR="00493FA7">
        <w:t xml:space="preserve">of people </w:t>
      </w:r>
      <w:r w:rsidR="000E197A">
        <w:t>may</w:t>
      </w:r>
      <w:r w:rsidR="00AB1CFD">
        <w:t xml:space="preserve"> </w:t>
      </w:r>
      <w:r w:rsidR="00BB6BF2">
        <w:t>trigger</w:t>
      </w:r>
      <w:r w:rsidR="000B396D">
        <w:t xml:space="preserve"> </w:t>
      </w:r>
      <w:r w:rsidR="00E27A24">
        <w:t xml:space="preserve">humanitarian and political </w:t>
      </w:r>
      <w:r w:rsidR="000B396D">
        <w:t>crises</w:t>
      </w:r>
      <w:r w:rsidR="00975064">
        <w:t>. F</w:t>
      </w:r>
      <w:r w:rsidR="0010614E">
        <w:t xml:space="preserve">or movements to </w:t>
      </w:r>
      <w:r w:rsidR="000B396D">
        <w:t>occur under conditions that are relatively safe and orderly</w:t>
      </w:r>
      <w:r w:rsidR="00493FA7">
        <w:t>,</w:t>
      </w:r>
      <w:r w:rsidR="000B396D">
        <w:t xml:space="preserve"> States</w:t>
      </w:r>
      <w:r w:rsidR="0025092A">
        <w:t xml:space="preserve"> and</w:t>
      </w:r>
      <w:r w:rsidR="000B396D">
        <w:t xml:space="preserve"> other</w:t>
      </w:r>
      <w:r w:rsidR="00E27A24">
        <w:t xml:space="preserve"> </w:t>
      </w:r>
      <w:r w:rsidR="000B396D">
        <w:t>s</w:t>
      </w:r>
      <w:r w:rsidR="00E27A24">
        <w:t>takeholders</w:t>
      </w:r>
      <w:r w:rsidR="000B396D">
        <w:t xml:space="preserve"> </w:t>
      </w:r>
      <w:r w:rsidR="0010614E">
        <w:t xml:space="preserve">will need to </w:t>
      </w:r>
      <w:r w:rsidR="00493FA7">
        <w:t xml:space="preserve">work together </w:t>
      </w:r>
      <w:r w:rsidR="00C67E01">
        <w:t xml:space="preserve">at various levels of governance </w:t>
      </w:r>
      <w:r w:rsidR="00493FA7">
        <w:t xml:space="preserve">to </w:t>
      </w:r>
      <w:r w:rsidR="00E27A24">
        <w:t>predict, shape and respond to people’s need and desire to move</w:t>
      </w:r>
      <w:r w:rsidR="000B396D">
        <w:t>.</w:t>
      </w:r>
      <w:r w:rsidR="0010614E">
        <w:t xml:space="preserve"> </w:t>
      </w:r>
      <w:r w:rsidR="00565D00">
        <w:t xml:space="preserve">As a forum at the interface </w:t>
      </w:r>
      <w:r w:rsidR="00D80D8E">
        <w:t>of</w:t>
      </w:r>
      <w:r w:rsidR="00565D00">
        <w:t xml:space="preserve"> migration and development, the GFMD will continue to forge synergies between migration and development actors with a view to find</w:t>
      </w:r>
      <w:r w:rsidR="000422B5">
        <w:t>ing</w:t>
      </w:r>
      <w:r w:rsidR="00565D00">
        <w:t xml:space="preserve"> action-oriented solutions to reach the SDGs.</w:t>
      </w:r>
    </w:p>
    <w:p w14:paraId="15D288CE" w14:textId="12AC72CE" w:rsidR="00D8323F" w:rsidRPr="00C30D34" w:rsidRDefault="00321E35" w:rsidP="00A719A8">
      <w:pPr>
        <w:jc w:val="both"/>
      </w:pPr>
      <w:r>
        <w:t>T</w:t>
      </w:r>
      <w:r w:rsidR="00975064">
        <w:t>he GFMD</w:t>
      </w:r>
      <w:r>
        <w:t xml:space="preserve"> is an informal forum and</w:t>
      </w:r>
      <w:r w:rsidR="00975064">
        <w:t xml:space="preserve"> has</w:t>
      </w:r>
      <w:r>
        <w:t>, consequently,</w:t>
      </w:r>
      <w:r w:rsidR="00975064">
        <w:t xml:space="preserve"> enormous potential, first and foremost as a place that allows governments and other stakeholders to learn with and from one another. </w:t>
      </w:r>
      <w:r w:rsidR="00C73188">
        <w:t xml:space="preserve">Governing human mobility is a complex task. The GFMD </w:t>
      </w:r>
      <w:r w:rsidR="00975064">
        <w:t xml:space="preserve">offers space for exploring </w:t>
      </w:r>
      <w:r w:rsidR="00BB6513">
        <w:t>s</w:t>
      </w:r>
      <w:r w:rsidR="00D8323F" w:rsidRPr="00C30D34">
        <w:t>ustainabl</w:t>
      </w:r>
      <w:r w:rsidR="00E27A24">
        <w:t xml:space="preserve">e </w:t>
      </w:r>
      <w:r w:rsidR="00824AFE">
        <w:t xml:space="preserve">approaches </w:t>
      </w:r>
      <w:r w:rsidR="00AB1CFD">
        <w:t xml:space="preserve">that </w:t>
      </w:r>
      <w:r w:rsidR="006A7527">
        <w:t>incorporat</w:t>
      </w:r>
      <w:r w:rsidR="00AB1CFD">
        <w:t>e</w:t>
      </w:r>
      <w:r w:rsidR="006A7527">
        <w:t xml:space="preserve"> long-term a</w:t>
      </w:r>
      <w:r w:rsidR="00C76EDC">
        <w:t xml:space="preserve">longside </w:t>
      </w:r>
      <w:r w:rsidR="006A7527">
        <w:t xml:space="preserve">short-term considerations and </w:t>
      </w:r>
      <w:r w:rsidR="00AB1CFD">
        <w:t>reflect</w:t>
      </w:r>
      <w:r w:rsidR="00C76EDC">
        <w:t xml:space="preserve"> </w:t>
      </w:r>
      <w:r w:rsidR="006A7527">
        <w:t>i</w:t>
      </w:r>
      <w:r w:rsidR="00C76EDC">
        <w:t xml:space="preserve">nteractions </w:t>
      </w:r>
      <w:r w:rsidR="006A7527">
        <w:t>across policy areas</w:t>
      </w:r>
      <w:r w:rsidR="00975064">
        <w:t xml:space="preserve"> and levels of governance</w:t>
      </w:r>
      <w:r w:rsidR="006A7527">
        <w:t>.</w:t>
      </w:r>
      <w:r w:rsidR="00AB1CFD">
        <w:t xml:space="preserve"> </w:t>
      </w:r>
      <w:r w:rsidR="00CD584A">
        <w:t>I</w:t>
      </w:r>
      <w:r w:rsidR="006A7527">
        <w:t xml:space="preserve">t </w:t>
      </w:r>
      <w:r w:rsidR="00AB1CFD">
        <w:t>can help elucidate the</w:t>
      </w:r>
      <w:r w:rsidR="00E27A24">
        <w:t xml:space="preserve"> </w:t>
      </w:r>
      <w:r w:rsidR="00D8323F" w:rsidRPr="00C30D34">
        <w:t>interests of</w:t>
      </w:r>
      <w:r w:rsidR="00AB1CFD">
        <w:t xml:space="preserve"> governments and other</w:t>
      </w:r>
      <w:r w:rsidR="00824AFE">
        <w:t xml:space="preserve"> </w:t>
      </w:r>
      <w:r w:rsidR="00D8323F" w:rsidRPr="00C30D34">
        <w:t>stakeholders</w:t>
      </w:r>
      <w:r w:rsidR="00824AFE">
        <w:t xml:space="preserve"> </w:t>
      </w:r>
      <w:r w:rsidR="002E3E41">
        <w:lastRenderedPageBreak/>
        <w:t xml:space="preserve">and </w:t>
      </w:r>
      <w:r w:rsidR="00975064">
        <w:t xml:space="preserve">foster an improved understanding of the </w:t>
      </w:r>
      <w:r w:rsidR="002E3E41">
        <w:t>costs and benefits involved</w:t>
      </w:r>
      <w:r w:rsidR="00975064">
        <w:t xml:space="preserve"> in particular policy choices</w:t>
      </w:r>
      <w:r w:rsidR="009608A1">
        <w:t xml:space="preserve"> and practical action</w:t>
      </w:r>
      <w:r w:rsidR="002E3E41">
        <w:t>.</w:t>
      </w:r>
      <w:r w:rsidR="00C73188">
        <w:t xml:space="preserve"> To do this well and fair</w:t>
      </w:r>
      <w:r w:rsidR="000422B5">
        <w:t>ly</w:t>
      </w:r>
      <w:r w:rsidR="00C73188">
        <w:t>, the rights and voices of migrants must be</w:t>
      </w:r>
      <w:r w:rsidR="004008A3">
        <w:t>come</w:t>
      </w:r>
      <w:r w:rsidR="00C73188">
        <w:t xml:space="preserve"> an integral part of the process. </w:t>
      </w:r>
      <w:r w:rsidR="00975064">
        <w:t xml:space="preserve"> </w:t>
      </w:r>
      <w:r w:rsidR="00A96408" w:rsidRPr="00A96408">
        <w:t xml:space="preserve"> </w:t>
      </w:r>
    </w:p>
    <w:p w14:paraId="4CF8CCF1" w14:textId="77777777" w:rsidR="001C430A" w:rsidRDefault="001C430A" w:rsidP="00A719A8">
      <w:pPr>
        <w:pStyle w:val="Heading2"/>
        <w:jc w:val="both"/>
        <w:rPr>
          <w:b/>
          <w:i/>
          <w:color w:val="auto"/>
          <w:sz w:val="28"/>
        </w:rPr>
      </w:pPr>
    </w:p>
    <w:p w14:paraId="2AE46F69" w14:textId="2DE1E205" w:rsidR="00C30D34" w:rsidRPr="001C430A" w:rsidRDefault="00C30D34" w:rsidP="00A719A8">
      <w:pPr>
        <w:pStyle w:val="Heading2"/>
        <w:jc w:val="both"/>
        <w:rPr>
          <w:b/>
          <w:i/>
          <w:color w:val="auto"/>
          <w:sz w:val="28"/>
        </w:rPr>
      </w:pPr>
      <w:bookmarkStart w:id="2" w:name="_Toc1038530"/>
      <w:r w:rsidRPr="001C430A">
        <w:rPr>
          <w:b/>
          <w:i/>
          <w:color w:val="auto"/>
          <w:sz w:val="28"/>
        </w:rPr>
        <w:t>Substantive priorities</w:t>
      </w:r>
      <w:bookmarkEnd w:id="2"/>
    </w:p>
    <w:p w14:paraId="2454C5F9" w14:textId="77777777" w:rsidR="00F94089" w:rsidRPr="00F94089" w:rsidRDefault="00F94089" w:rsidP="00A719A8">
      <w:pPr>
        <w:jc w:val="both"/>
      </w:pPr>
    </w:p>
    <w:p w14:paraId="72173E77" w14:textId="340E4799" w:rsidR="006870F5" w:rsidRPr="006870F5" w:rsidRDefault="00D35F3D" w:rsidP="006870F5">
      <w:pPr>
        <w:pStyle w:val="Heading3"/>
        <w:numPr>
          <w:ilvl w:val="0"/>
          <w:numId w:val="46"/>
        </w:numPr>
      </w:pPr>
      <w:bookmarkStart w:id="3" w:name="_Toc1038531"/>
      <w:r w:rsidRPr="00F94089">
        <w:t xml:space="preserve">Joint </w:t>
      </w:r>
      <w:r w:rsidR="005B20FE" w:rsidRPr="00F94089">
        <w:t>response</w:t>
      </w:r>
      <w:r w:rsidR="00AC52E0" w:rsidRPr="00F94089">
        <w:t>s</w:t>
      </w:r>
      <w:r w:rsidR="005B20FE" w:rsidRPr="00F94089">
        <w:t xml:space="preserve"> to </w:t>
      </w:r>
      <w:r w:rsidR="00BC512C" w:rsidRPr="00F94089">
        <w:t xml:space="preserve">mixed </w:t>
      </w:r>
      <w:r w:rsidRPr="00F94089">
        <w:t xml:space="preserve">migration </w:t>
      </w:r>
      <w:r w:rsidR="00BC512C" w:rsidRPr="00F94089">
        <w:t>flows</w:t>
      </w:r>
      <w:r w:rsidRPr="00F94089">
        <w:t xml:space="preserve">: </w:t>
      </w:r>
      <w:r w:rsidR="00E56C06" w:rsidRPr="00F94089">
        <w:t>P</w:t>
      </w:r>
      <w:r w:rsidR="000D2167" w:rsidRPr="00F94089">
        <w:t>artner</w:t>
      </w:r>
      <w:r w:rsidR="002B103F" w:rsidRPr="00F94089">
        <w:t xml:space="preserve">ships and collective action </w:t>
      </w:r>
      <w:r w:rsidR="000D2167" w:rsidRPr="00F94089">
        <w:t>to p</w:t>
      </w:r>
      <w:r w:rsidR="00BC512C" w:rsidRPr="00F94089">
        <w:t>rotect</w:t>
      </w:r>
      <w:r w:rsidR="000D2167" w:rsidRPr="00F94089">
        <w:t xml:space="preserve"> </w:t>
      </w:r>
      <w:r w:rsidR="00BC512C" w:rsidRPr="00F94089">
        <w:t>rights</w:t>
      </w:r>
      <w:bookmarkEnd w:id="3"/>
    </w:p>
    <w:p w14:paraId="0747961F" w14:textId="6DA56C1E" w:rsidR="002D00E9" w:rsidRDefault="00535E89" w:rsidP="00A719A8">
      <w:pPr>
        <w:jc w:val="both"/>
      </w:pPr>
      <w:r>
        <w:t>In recent years, c</w:t>
      </w:r>
      <w:r w:rsidR="002D00E9">
        <w:t xml:space="preserve">rises in different parts of the world have prompted large movements of people, </w:t>
      </w:r>
      <w:r w:rsidR="009D470D">
        <w:t xml:space="preserve">often </w:t>
      </w:r>
      <w:r>
        <w:t xml:space="preserve">travelling </w:t>
      </w:r>
      <w:r w:rsidR="009D470D">
        <w:t xml:space="preserve">under conditions of great vulnerability, and created pressure on governments to find coordinated responses. People fleeing the same situation may end </w:t>
      </w:r>
      <w:r>
        <w:t>up</w:t>
      </w:r>
      <w:r w:rsidR="009D470D">
        <w:t xml:space="preserve"> </w:t>
      </w:r>
      <w:r>
        <w:t xml:space="preserve">in </w:t>
      </w:r>
      <w:r w:rsidR="009D470D">
        <w:t xml:space="preserve">very different </w:t>
      </w:r>
      <w:r>
        <w:t xml:space="preserve">reception </w:t>
      </w:r>
      <w:r w:rsidR="009D470D">
        <w:t>conditions and legal status</w:t>
      </w:r>
      <w:r>
        <w:t>es</w:t>
      </w:r>
      <w:r w:rsidR="009D470D">
        <w:t xml:space="preserve"> depending on </w:t>
      </w:r>
      <w:r>
        <w:t xml:space="preserve">the </w:t>
      </w:r>
      <w:r w:rsidR="009D470D">
        <w:t xml:space="preserve">country </w:t>
      </w:r>
      <w:r>
        <w:t xml:space="preserve">where </w:t>
      </w:r>
      <w:r w:rsidR="009D470D">
        <w:t xml:space="preserve">they arrive. </w:t>
      </w:r>
      <w:r w:rsidR="002D00E9">
        <w:t xml:space="preserve">For </w:t>
      </w:r>
      <w:r w:rsidR="00CB2FB9">
        <w:t>migrants and refugees, discrepancies</w:t>
      </w:r>
      <w:r w:rsidR="009D470D">
        <w:t xml:space="preserve"> </w:t>
      </w:r>
      <w:r>
        <w:t xml:space="preserve">across countries </w:t>
      </w:r>
      <w:r w:rsidR="009D470D">
        <w:t xml:space="preserve">can create incentives to move </w:t>
      </w:r>
      <w:r>
        <w:t xml:space="preserve">onward </w:t>
      </w:r>
      <w:r w:rsidR="009D470D">
        <w:t xml:space="preserve">to </w:t>
      </w:r>
      <w:r w:rsidR="00CB2FB9">
        <w:t>improve</w:t>
      </w:r>
      <w:r w:rsidR="009D470D">
        <w:t xml:space="preserve"> their situation and that of their families. </w:t>
      </w:r>
      <w:r>
        <w:t xml:space="preserve">Among </w:t>
      </w:r>
      <w:r w:rsidR="002D00E9">
        <w:t xml:space="preserve">countries, </w:t>
      </w:r>
      <w:r w:rsidR="009D470D">
        <w:t xml:space="preserve">it can lead to </w:t>
      </w:r>
      <w:r>
        <w:t xml:space="preserve">a downward spiral of </w:t>
      </w:r>
      <w:r w:rsidR="009D470D">
        <w:t>tighte</w:t>
      </w:r>
      <w:r>
        <w:t>r</w:t>
      </w:r>
      <w:r w:rsidR="009D470D">
        <w:t xml:space="preserve"> restrictions </w:t>
      </w:r>
      <w:r>
        <w:t xml:space="preserve">on entry and conditions of stay as governments seek </w:t>
      </w:r>
      <w:r w:rsidR="009D470D">
        <w:t>to limit arrivals and associated costs</w:t>
      </w:r>
      <w:r w:rsidR="002D00E9">
        <w:t xml:space="preserve">. </w:t>
      </w:r>
      <w:r w:rsidR="009D470D">
        <w:t xml:space="preserve">This in turn </w:t>
      </w:r>
      <w:r>
        <w:t>can trap migrants and refugees in situations of prolonged</w:t>
      </w:r>
      <w:r w:rsidR="009D470D">
        <w:t xml:space="preserve"> limbo </w:t>
      </w:r>
      <w:r>
        <w:t>and</w:t>
      </w:r>
      <w:r w:rsidR="008251F6">
        <w:t xml:space="preserve"> </w:t>
      </w:r>
      <w:r>
        <w:t xml:space="preserve">create an environment in which </w:t>
      </w:r>
      <w:r w:rsidR="008251F6">
        <w:t>smuggling and trafficking operations thrive</w:t>
      </w:r>
      <w:r w:rsidR="009D470D">
        <w:t xml:space="preserve">.  </w:t>
      </w:r>
    </w:p>
    <w:p w14:paraId="3FBD25E2" w14:textId="45EAAAD7" w:rsidR="001C430A" w:rsidRDefault="006141DF" w:rsidP="00A719A8">
      <w:pPr>
        <w:jc w:val="both"/>
      </w:pPr>
      <w:r w:rsidRPr="006141DF">
        <w:t>In 2016, the NYD laid out principles to address l</w:t>
      </w:r>
      <w:r w:rsidR="001C5F35" w:rsidRPr="006141DF">
        <w:t>arge mixed movements</w:t>
      </w:r>
      <w:r w:rsidR="008251F6">
        <w:t xml:space="preserve"> of migrants and refugees</w:t>
      </w:r>
      <w:r w:rsidRPr="006141DF">
        <w:t>,</w:t>
      </w:r>
      <w:r>
        <w:t xml:space="preserve"> </w:t>
      </w:r>
      <w:r w:rsidR="005C5729">
        <w:t xml:space="preserve">highlighting the </w:t>
      </w:r>
      <w:r w:rsidR="00F06EC1">
        <w:t>common protection needs of</w:t>
      </w:r>
      <w:r w:rsidR="005C5729" w:rsidRPr="006141DF">
        <w:t xml:space="preserve"> </w:t>
      </w:r>
      <w:r w:rsidR="00F06EC1">
        <w:t xml:space="preserve">both </w:t>
      </w:r>
      <w:r w:rsidR="008251F6">
        <w:t>groups</w:t>
      </w:r>
      <w:r w:rsidR="00F06EC1">
        <w:t xml:space="preserve">, </w:t>
      </w:r>
      <w:r w:rsidR="008251F6">
        <w:t>especially while in transit</w:t>
      </w:r>
      <w:r w:rsidR="00F06EC1">
        <w:t>.</w:t>
      </w:r>
      <w:r w:rsidR="005C5729">
        <w:t xml:space="preserve"> </w:t>
      </w:r>
      <w:r w:rsidR="00F06EC1">
        <w:t xml:space="preserve">Against the backdrop of </w:t>
      </w:r>
      <w:r w:rsidR="0013441F">
        <w:t xml:space="preserve">large-scale protracted refugee situations and crisis-related movements in different parts of the world, including the Mediterranean, Central </w:t>
      </w:r>
      <w:r w:rsidR="005A3BB2">
        <w:t xml:space="preserve">and South </w:t>
      </w:r>
      <w:r w:rsidR="0013441F">
        <w:t xml:space="preserve">America, </w:t>
      </w:r>
      <w:r w:rsidR="005A3BB2">
        <w:t xml:space="preserve">Asia and </w:t>
      </w:r>
      <w:proofErr w:type="gramStart"/>
      <w:r w:rsidR="005A3BB2">
        <w:t xml:space="preserve">Africa </w:t>
      </w:r>
      <w:r w:rsidR="000C7991">
        <w:t xml:space="preserve"> </w:t>
      </w:r>
      <w:r w:rsidR="00F06EC1">
        <w:t>t</w:t>
      </w:r>
      <w:r w:rsidR="00535E89">
        <w:t>his</w:t>
      </w:r>
      <w:proofErr w:type="gramEnd"/>
      <w:r w:rsidR="00284980">
        <w:t xml:space="preserve"> first</w:t>
      </w:r>
      <w:r w:rsidR="00535E89">
        <w:t xml:space="preserve"> thematic priority </w:t>
      </w:r>
      <w:r w:rsidR="0072108B">
        <w:t xml:space="preserve">of the GFMD </w:t>
      </w:r>
      <w:r w:rsidR="00F06EC1">
        <w:t xml:space="preserve">is to </w:t>
      </w:r>
      <w:r w:rsidR="00284980">
        <w:t>stimulate exchange among countries and regions on innovative approaches and lessons learned in dealing with situations of crisis migration</w:t>
      </w:r>
      <w:r w:rsidR="0072108B">
        <w:t xml:space="preserve"> </w:t>
      </w:r>
      <w:r w:rsidR="007C3797">
        <w:t xml:space="preserve">in a manner that upholds and </w:t>
      </w:r>
      <w:r w:rsidR="00284980">
        <w:t>protect</w:t>
      </w:r>
      <w:r w:rsidR="007C3797">
        <w:t>s</w:t>
      </w:r>
      <w:r w:rsidR="00284980">
        <w:t xml:space="preserve"> the</w:t>
      </w:r>
      <w:r w:rsidR="0020048F">
        <w:t xml:space="preserve"> (human)</w:t>
      </w:r>
      <w:r w:rsidR="00284980">
        <w:t xml:space="preserve"> rights of people on the move. It </w:t>
      </w:r>
      <w:r w:rsidR="0013649F">
        <w:t xml:space="preserve">will </w:t>
      </w:r>
      <w:r w:rsidR="00F06EC1">
        <w:t xml:space="preserve">examine </w:t>
      </w:r>
      <w:r w:rsidR="0072108B">
        <w:t xml:space="preserve">how </w:t>
      </w:r>
      <w:r w:rsidR="00F06EC1">
        <w:t>coo</w:t>
      </w:r>
      <w:r w:rsidR="0072108B">
        <w:t>rdination a</w:t>
      </w:r>
      <w:r w:rsidR="00284980">
        <w:t xml:space="preserve">mong </w:t>
      </w:r>
      <w:r w:rsidR="007C3797">
        <w:t>governments</w:t>
      </w:r>
      <w:r w:rsidR="00284980">
        <w:t xml:space="preserve"> and </w:t>
      </w:r>
      <w:r w:rsidR="0072108B">
        <w:t>cooperation with other s</w:t>
      </w:r>
      <w:r w:rsidR="00284980">
        <w:t>takeholder</w:t>
      </w:r>
      <w:r w:rsidR="0072108B">
        <w:t>s</w:t>
      </w:r>
      <w:r w:rsidR="00284980">
        <w:t xml:space="preserve"> can </w:t>
      </w:r>
      <w:r w:rsidR="00F67EE7">
        <w:t xml:space="preserve">bolster </w:t>
      </w:r>
      <w:r w:rsidR="007C3797">
        <w:t>States</w:t>
      </w:r>
      <w:r w:rsidR="00C71E9E">
        <w:t>’ agency and</w:t>
      </w:r>
      <w:r w:rsidR="007C3797">
        <w:t xml:space="preserve"> </w:t>
      </w:r>
      <w:r w:rsidR="00D037FD">
        <w:t>capacity to</w:t>
      </w:r>
      <w:r w:rsidR="00284980">
        <w:t xml:space="preserve"> </w:t>
      </w:r>
      <w:r w:rsidR="0072108B">
        <w:t xml:space="preserve">manage movements and meet </w:t>
      </w:r>
      <w:r w:rsidR="007C3797">
        <w:t xml:space="preserve">acute </w:t>
      </w:r>
      <w:r w:rsidR="0072108B">
        <w:t>needs</w:t>
      </w:r>
      <w:r w:rsidR="007C3797">
        <w:t xml:space="preserve">, while </w:t>
      </w:r>
      <w:r w:rsidR="00C71E9E">
        <w:t xml:space="preserve">linking </w:t>
      </w:r>
      <w:r w:rsidR="00F06EC1">
        <w:t>short-</w:t>
      </w:r>
      <w:r w:rsidR="0072108B">
        <w:t>term</w:t>
      </w:r>
      <w:r w:rsidR="00284980">
        <w:t xml:space="preserve"> </w:t>
      </w:r>
      <w:r w:rsidR="0072108B">
        <w:t xml:space="preserve">responses </w:t>
      </w:r>
      <w:r w:rsidR="0062082C">
        <w:t>to</w:t>
      </w:r>
      <w:r w:rsidR="007C3797">
        <w:t xml:space="preserve"> </w:t>
      </w:r>
      <w:r w:rsidR="00F06EC1">
        <w:t>long</w:t>
      </w:r>
      <w:r w:rsidR="0062082C">
        <w:t>er</w:t>
      </w:r>
      <w:r w:rsidR="00F06EC1">
        <w:t xml:space="preserve">-term </w:t>
      </w:r>
      <w:r w:rsidR="00586A54">
        <w:t>planning</w:t>
      </w:r>
      <w:r w:rsidR="0072108B">
        <w:t xml:space="preserve"> </w:t>
      </w:r>
      <w:r w:rsidR="0062082C">
        <w:t xml:space="preserve">around </w:t>
      </w:r>
      <w:r w:rsidR="007C3797">
        <w:t xml:space="preserve">safety and opportunity for </w:t>
      </w:r>
      <w:r w:rsidR="0062082C">
        <w:t>newcomers and host communities, as well as those migrants and refugees who eventually return</w:t>
      </w:r>
      <w:r w:rsidR="00F06EC1">
        <w:t xml:space="preserve">.  </w:t>
      </w:r>
    </w:p>
    <w:p w14:paraId="0598DE3C" w14:textId="77777777" w:rsidR="006870F5" w:rsidRDefault="006870F5" w:rsidP="00A719A8">
      <w:pPr>
        <w:jc w:val="both"/>
      </w:pPr>
    </w:p>
    <w:p w14:paraId="4D33DF5B" w14:textId="00B2E076" w:rsidR="00E35343" w:rsidRPr="001C430A" w:rsidRDefault="00B42F07" w:rsidP="00C3783E">
      <w:pPr>
        <w:pStyle w:val="Heading4"/>
      </w:pPr>
      <w:bookmarkStart w:id="4" w:name="_Toc1038532"/>
      <w:r w:rsidRPr="001C430A">
        <w:t xml:space="preserve">Roundtable 1.1: </w:t>
      </w:r>
      <w:r w:rsidR="005F4201" w:rsidRPr="001C430A">
        <w:t>Providing</w:t>
      </w:r>
      <w:r w:rsidR="001E63FB" w:rsidRPr="001C430A">
        <w:t xml:space="preserve"> legal pathways </w:t>
      </w:r>
      <w:r w:rsidR="005041D7" w:rsidRPr="001C430A">
        <w:t>from</w:t>
      </w:r>
      <w:r w:rsidR="001E63FB" w:rsidRPr="001C430A">
        <w:t xml:space="preserve"> crisis</w:t>
      </w:r>
      <w:r w:rsidR="00B87706" w:rsidRPr="001C430A">
        <w:t xml:space="preserve"> to safety</w:t>
      </w:r>
      <w:bookmarkEnd w:id="4"/>
    </w:p>
    <w:p w14:paraId="6959ADE3" w14:textId="199CD553" w:rsidR="00E35343" w:rsidRDefault="00E35343" w:rsidP="00A719A8">
      <w:pPr>
        <w:jc w:val="both"/>
        <w:rPr>
          <w:i/>
          <w:u w:val="single"/>
        </w:rPr>
      </w:pPr>
      <w:r w:rsidRPr="00703CD0">
        <w:rPr>
          <w:i/>
          <w:u w:val="single"/>
        </w:rPr>
        <w:t>Expected outcome</w:t>
      </w:r>
    </w:p>
    <w:p w14:paraId="30B0956A" w14:textId="08416408" w:rsidR="00254715" w:rsidRPr="00A719A8" w:rsidRDefault="00254715" w:rsidP="00A719A8">
      <w:pPr>
        <w:jc w:val="both"/>
        <w:rPr>
          <w:i/>
        </w:rPr>
      </w:pPr>
      <w:r w:rsidRPr="00A719A8">
        <w:rPr>
          <w:i/>
        </w:rPr>
        <w:t xml:space="preserve">The goal of this roundtable is to identify and share concrete measures by governments and other stakeholders to facilitate safe passage for people </w:t>
      </w:r>
      <w:r w:rsidR="00066947" w:rsidRPr="00A719A8">
        <w:rPr>
          <w:i/>
        </w:rPr>
        <w:t>who</w:t>
      </w:r>
      <w:r w:rsidRPr="00A719A8">
        <w:rPr>
          <w:i/>
        </w:rPr>
        <w:t xml:space="preserve"> are forced to leave their homes, vulnerable groups in particular, and provide access </w:t>
      </w:r>
      <w:r w:rsidR="00066947" w:rsidRPr="00A719A8">
        <w:rPr>
          <w:i/>
        </w:rPr>
        <w:t>to</w:t>
      </w:r>
      <w:r w:rsidRPr="00A719A8">
        <w:rPr>
          <w:i/>
        </w:rPr>
        <w:t xml:space="preserve"> legal status in the country of destination.</w:t>
      </w:r>
    </w:p>
    <w:p w14:paraId="4E6CCF38" w14:textId="019D0D69" w:rsidR="00D66065" w:rsidRDefault="0062082C" w:rsidP="00A719A8">
      <w:pPr>
        <w:pStyle w:val="ListParagraph"/>
        <w:ind w:left="0"/>
        <w:contextualSpacing w:val="0"/>
        <w:jc w:val="both"/>
      </w:pPr>
      <w:r>
        <w:t xml:space="preserve">This discussion is to take stock of the range of </w:t>
      </w:r>
      <w:r w:rsidR="00E17C55">
        <w:t xml:space="preserve">policy options, and concrete </w:t>
      </w:r>
      <w:r>
        <w:t>m</w:t>
      </w:r>
      <w:r w:rsidR="00586A54" w:rsidRPr="0062082C">
        <w:t xml:space="preserve">easures </w:t>
      </w:r>
      <w:r>
        <w:t xml:space="preserve">governments </w:t>
      </w:r>
      <w:r w:rsidR="00E17C55">
        <w:t xml:space="preserve">have </w:t>
      </w:r>
      <w:r w:rsidR="00586A54" w:rsidRPr="0062082C">
        <w:t>taken</w:t>
      </w:r>
      <w:r w:rsidR="00E17C55">
        <w:t>,</w:t>
      </w:r>
      <w:r w:rsidR="00586A54" w:rsidRPr="0062082C">
        <w:t xml:space="preserve"> to </w:t>
      </w:r>
      <w:r w:rsidR="00E17C55">
        <w:t>facilitate safe passage for</w:t>
      </w:r>
      <w:r w:rsidR="00586A54" w:rsidRPr="0062082C">
        <w:t xml:space="preserve"> people </w:t>
      </w:r>
      <w:r w:rsidR="00E17C55">
        <w:t xml:space="preserve">fleeing crisis situations </w:t>
      </w:r>
      <w:r w:rsidR="00586A54" w:rsidRPr="0062082C">
        <w:t xml:space="preserve">and </w:t>
      </w:r>
      <w:r w:rsidR="005041D7">
        <w:t xml:space="preserve">provide </w:t>
      </w:r>
      <w:r w:rsidR="00586A54" w:rsidRPr="0062082C">
        <w:t xml:space="preserve">access to </w:t>
      </w:r>
      <w:r w:rsidR="00E17C55">
        <w:t xml:space="preserve">asylum or </w:t>
      </w:r>
      <w:r w:rsidR="005041D7">
        <w:t xml:space="preserve">alternative </w:t>
      </w:r>
      <w:r w:rsidR="00481661" w:rsidRPr="0062082C">
        <w:t>legal status</w:t>
      </w:r>
      <w:r w:rsidR="00E17C55">
        <w:t xml:space="preserve">. </w:t>
      </w:r>
      <w:r w:rsidR="00C71E9E">
        <w:t>It</w:t>
      </w:r>
      <w:r w:rsidR="00E17C55">
        <w:t xml:space="preserve"> include</w:t>
      </w:r>
      <w:r w:rsidR="00C71E9E">
        <w:t>s</w:t>
      </w:r>
      <w:r w:rsidR="00E17C55">
        <w:t xml:space="preserve"> addressing questions </w:t>
      </w:r>
      <w:r w:rsidR="00586A54" w:rsidRPr="0062082C">
        <w:t>of documentation</w:t>
      </w:r>
      <w:r w:rsidR="00E17C55">
        <w:t xml:space="preserve"> and identification</w:t>
      </w:r>
      <w:r w:rsidR="00586A54" w:rsidRPr="0062082C">
        <w:t xml:space="preserve">, reception procedures, </w:t>
      </w:r>
      <w:r w:rsidR="00E17C55">
        <w:t xml:space="preserve">including for </w:t>
      </w:r>
      <w:r w:rsidR="00586A54" w:rsidRPr="0062082C">
        <w:t xml:space="preserve">particularly vulnerable groups such </w:t>
      </w:r>
      <w:r w:rsidR="00946AD1">
        <w:t xml:space="preserve">as </w:t>
      </w:r>
      <w:r w:rsidR="00586A54" w:rsidRPr="0062082C">
        <w:t>unaccompanied children and victims of trafficking</w:t>
      </w:r>
      <w:r w:rsidR="00E17C55">
        <w:t xml:space="preserve"> and other crimes</w:t>
      </w:r>
      <w:r w:rsidR="00586A54" w:rsidRPr="0062082C">
        <w:t xml:space="preserve">, </w:t>
      </w:r>
      <w:r w:rsidR="00E17C55">
        <w:t xml:space="preserve">access to shelter and health services, and </w:t>
      </w:r>
      <w:r w:rsidR="00586A54" w:rsidRPr="0062082C">
        <w:t>f</w:t>
      </w:r>
      <w:r w:rsidR="001E63FB" w:rsidRPr="0062082C">
        <w:t>amily tracing and reunification</w:t>
      </w:r>
      <w:r w:rsidR="00586A54" w:rsidRPr="0062082C">
        <w:t>.</w:t>
      </w:r>
      <w:r w:rsidR="005F4201" w:rsidRPr="0062082C">
        <w:t xml:space="preserve"> </w:t>
      </w:r>
      <w:r w:rsidR="005041D7">
        <w:t>Questions of coordination and cooperation at regional, national and local levels, among governments, with non-state actors and people on the move, will be a critical consideration throughout</w:t>
      </w:r>
      <w:r w:rsidR="005F4201" w:rsidRPr="0062082C">
        <w:t xml:space="preserve">.  </w:t>
      </w:r>
      <w:r w:rsidR="00586A54" w:rsidRPr="0062082C">
        <w:t xml:space="preserve"> </w:t>
      </w:r>
      <w:r w:rsidR="001E63FB" w:rsidRPr="0062082C">
        <w:t xml:space="preserve"> </w:t>
      </w:r>
    </w:p>
    <w:p w14:paraId="2449DBA6" w14:textId="77777777" w:rsidR="0082500B" w:rsidRDefault="0082500B" w:rsidP="00A719A8">
      <w:pPr>
        <w:pStyle w:val="ListParagraph"/>
        <w:ind w:left="0"/>
        <w:contextualSpacing w:val="0"/>
        <w:jc w:val="both"/>
        <w:rPr>
          <w:i/>
          <w:u w:val="single"/>
        </w:rPr>
      </w:pPr>
    </w:p>
    <w:p w14:paraId="078DCFFD" w14:textId="026A5751" w:rsidR="00E35343" w:rsidRPr="00703CD0" w:rsidRDefault="00E35343" w:rsidP="00A719A8">
      <w:pPr>
        <w:pStyle w:val="ListParagraph"/>
        <w:ind w:left="0"/>
        <w:contextualSpacing w:val="0"/>
        <w:jc w:val="both"/>
        <w:rPr>
          <w:i/>
          <w:u w:val="single"/>
        </w:rPr>
      </w:pPr>
      <w:r w:rsidRPr="00703CD0">
        <w:rPr>
          <w:i/>
          <w:u w:val="single"/>
        </w:rPr>
        <w:lastRenderedPageBreak/>
        <w:t>Guiding questions</w:t>
      </w:r>
    </w:p>
    <w:p w14:paraId="44A46444" w14:textId="46449B7F" w:rsidR="00254715" w:rsidRDefault="000C7991" w:rsidP="00A719A8">
      <w:pPr>
        <w:pStyle w:val="ListParagraph"/>
        <w:numPr>
          <w:ilvl w:val="0"/>
          <w:numId w:val="39"/>
        </w:numPr>
        <w:contextualSpacing w:val="0"/>
        <w:jc w:val="both"/>
        <w:rPr>
          <w:i/>
        </w:rPr>
      </w:pPr>
      <w:r>
        <w:rPr>
          <w:i/>
        </w:rPr>
        <w:t xml:space="preserve">What motivates States to keep borders open and facilitate safe passage for people fleeing crisis situations? </w:t>
      </w:r>
      <w:r w:rsidR="00D02E8E">
        <w:rPr>
          <w:i/>
        </w:rPr>
        <w:t xml:space="preserve">What role does coordination with other </w:t>
      </w:r>
      <w:r>
        <w:rPr>
          <w:i/>
        </w:rPr>
        <w:t>S</w:t>
      </w:r>
      <w:r w:rsidR="00254715">
        <w:rPr>
          <w:i/>
        </w:rPr>
        <w:t xml:space="preserve">tates </w:t>
      </w:r>
      <w:r w:rsidR="00D02E8E">
        <w:rPr>
          <w:i/>
        </w:rPr>
        <w:t xml:space="preserve">play? What concrete measures have States and non-state actors put in place </w:t>
      </w:r>
      <w:r w:rsidR="00254715">
        <w:rPr>
          <w:i/>
        </w:rPr>
        <w:t>to facilitate safe passage for people fleeing crisis situations?</w:t>
      </w:r>
    </w:p>
    <w:p w14:paraId="37994905" w14:textId="50E8870D" w:rsidR="00254715" w:rsidRDefault="00254715" w:rsidP="00A719A8">
      <w:pPr>
        <w:pStyle w:val="ListParagraph"/>
        <w:numPr>
          <w:ilvl w:val="0"/>
          <w:numId w:val="39"/>
        </w:numPr>
        <w:contextualSpacing w:val="0"/>
        <w:jc w:val="both"/>
        <w:rPr>
          <w:i/>
        </w:rPr>
      </w:pPr>
      <w:r>
        <w:rPr>
          <w:i/>
        </w:rPr>
        <w:t>Wh</w:t>
      </w:r>
      <w:r w:rsidR="000C7991">
        <w:rPr>
          <w:i/>
        </w:rPr>
        <w:t xml:space="preserve">y do </w:t>
      </w:r>
      <w:r w:rsidR="00D02E8E">
        <w:rPr>
          <w:i/>
        </w:rPr>
        <w:t>governments</w:t>
      </w:r>
      <w:r w:rsidR="000C7991">
        <w:rPr>
          <w:i/>
        </w:rPr>
        <w:t xml:space="preserve"> choose to grant </w:t>
      </w:r>
      <w:r>
        <w:rPr>
          <w:i/>
        </w:rPr>
        <w:t>alternative legal status</w:t>
      </w:r>
      <w:r w:rsidR="00D02E8E">
        <w:rPr>
          <w:i/>
        </w:rPr>
        <w:t>es</w:t>
      </w:r>
      <w:r>
        <w:rPr>
          <w:i/>
        </w:rPr>
        <w:t xml:space="preserve"> besides asylum</w:t>
      </w:r>
      <w:r w:rsidR="00D02E8E">
        <w:rPr>
          <w:i/>
        </w:rPr>
        <w:t>/refugee status</w:t>
      </w:r>
      <w:r>
        <w:rPr>
          <w:i/>
        </w:rPr>
        <w:t xml:space="preserve">? </w:t>
      </w:r>
      <w:r w:rsidR="000C7991">
        <w:rPr>
          <w:i/>
        </w:rPr>
        <w:t xml:space="preserve">What </w:t>
      </w:r>
      <w:r w:rsidR="00D02E8E">
        <w:rPr>
          <w:i/>
        </w:rPr>
        <w:t>concrete alternatives have been used? What are the costs and benefits of th</w:t>
      </w:r>
      <w:r w:rsidR="000C7991">
        <w:rPr>
          <w:i/>
        </w:rPr>
        <w:t>ose alternatives</w:t>
      </w:r>
      <w:r w:rsidR="00D02E8E">
        <w:rPr>
          <w:i/>
        </w:rPr>
        <w:t>?</w:t>
      </w:r>
    </w:p>
    <w:p w14:paraId="57228A4F" w14:textId="79FC19C9" w:rsidR="00D02E8E" w:rsidRDefault="00D02E8E" w:rsidP="00A719A8">
      <w:pPr>
        <w:pStyle w:val="ListParagraph"/>
        <w:numPr>
          <w:ilvl w:val="0"/>
          <w:numId w:val="39"/>
        </w:numPr>
        <w:contextualSpacing w:val="0"/>
        <w:jc w:val="both"/>
        <w:rPr>
          <w:i/>
        </w:rPr>
      </w:pPr>
      <w:r>
        <w:rPr>
          <w:i/>
        </w:rPr>
        <w:t>How have governments deal</w:t>
      </w:r>
      <w:r w:rsidR="00AA4C07">
        <w:rPr>
          <w:i/>
        </w:rPr>
        <w:t>t</w:t>
      </w:r>
      <w:r>
        <w:rPr>
          <w:i/>
        </w:rPr>
        <w:t xml:space="preserve"> with questions of (lack of)</w:t>
      </w:r>
      <w:r w:rsidR="00254715">
        <w:rPr>
          <w:i/>
        </w:rPr>
        <w:t xml:space="preserve"> documentation</w:t>
      </w:r>
      <w:r>
        <w:rPr>
          <w:i/>
        </w:rPr>
        <w:t xml:space="preserve"> and</w:t>
      </w:r>
      <w:r w:rsidR="00254715">
        <w:rPr>
          <w:i/>
        </w:rPr>
        <w:t xml:space="preserve"> identification </w:t>
      </w:r>
      <w:r>
        <w:rPr>
          <w:i/>
        </w:rPr>
        <w:t>in crisis situations? Why is coordination on this matter important?</w:t>
      </w:r>
    </w:p>
    <w:p w14:paraId="2EA0C472" w14:textId="5B7A74A9" w:rsidR="00254715" w:rsidRDefault="00D02E8E" w:rsidP="00A719A8">
      <w:pPr>
        <w:pStyle w:val="ListParagraph"/>
        <w:numPr>
          <w:ilvl w:val="0"/>
          <w:numId w:val="39"/>
        </w:numPr>
        <w:contextualSpacing w:val="0"/>
        <w:jc w:val="both"/>
        <w:rPr>
          <w:i/>
        </w:rPr>
      </w:pPr>
      <w:r>
        <w:rPr>
          <w:i/>
        </w:rPr>
        <w:t xml:space="preserve">What </w:t>
      </w:r>
      <w:r w:rsidR="00254715">
        <w:rPr>
          <w:i/>
        </w:rPr>
        <w:t xml:space="preserve">procedures </w:t>
      </w:r>
      <w:r>
        <w:rPr>
          <w:i/>
        </w:rPr>
        <w:t xml:space="preserve">have governments put in place to </w:t>
      </w:r>
      <w:r w:rsidR="007B0422">
        <w:rPr>
          <w:i/>
        </w:rPr>
        <w:t xml:space="preserve">ensure safe reception and accommodation of newly arriving </w:t>
      </w:r>
      <w:r>
        <w:rPr>
          <w:i/>
        </w:rPr>
        <w:t>migrants and refugees</w:t>
      </w:r>
      <w:r w:rsidR="007B0422">
        <w:rPr>
          <w:i/>
        </w:rPr>
        <w:t xml:space="preserve"> and to safeguard the rights of</w:t>
      </w:r>
      <w:r w:rsidR="00254715">
        <w:rPr>
          <w:i/>
        </w:rPr>
        <w:t xml:space="preserve"> </w:t>
      </w:r>
      <w:r w:rsidR="007B0422">
        <w:rPr>
          <w:i/>
        </w:rPr>
        <w:t>particularly vulnerable groups? What role do international and non-governmental partners and volunteers play</w:t>
      </w:r>
      <w:r w:rsidR="00B66A79">
        <w:rPr>
          <w:i/>
        </w:rPr>
        <w:t>?</w:t>
      </w:r>
    </w:p>
    <w:p w14:paraId="4ADF208F" w14:textId="70E37280" w:rsidR="007B0422" w:rsidRDefault="007B0422" w:rsidP="00A719A8">
      <w:pPr>
        <w:pStyle w:val="ListParagraph"/>
        <w:numPr>
          <w:ilvl w:val="0"/>
          <w:numId w:val="39"/>
        </w:numPr>
        <w:contextualSpacing w:val="0"/>
        <w:jc w:val="both"/>
        <w:rPr>
          <w:i/>
        </w:rPr>
      </w:pPr>
      <w:r>
        <w:rPr>
          <w:i/>
        </w:rPr>
        <w:t>What kinds of mechanisms at various levels (regional, national, sub-national) have governments and other stakeholders used to facilitate a coordinated response in situations of large movements? What lessons have they learned?</w:t>
      </w:r>
    </w:p>
    <w:p w14:paraId="72F1DA68" w14:textId="77777777" w:rsidR="004E44D9" w:rsidRDefault="004E44D9" w:rsidP="00A719A8">
      <w:pPr>
        <w:jc w:val="both"/>
        <w:rPr>
          <w:u w:val="single"/>
        </w:rPr>
      </w:pPr>
    </w:p>
    <w:p w14:paraId="30CCC59B" w14:textId="78DDE046" w:rsidR="00E35343" w:rsidRPr="001C430A" w:rsidRDefault="00B42F07" w:rsidP="00C3783E">
      <w:pPr>
        <w:pStyle w:val="Heading4"/>
      </w:pPr>
      <w:bookmarkStart w:id="5" w:name="_Toc1038533"/>
      <w:r w:rsidRPr="001C430A">
        <w:t>Roundtable 1.2:</w:t>
      </w:r>
      <w:r w:rsidR="00946AD1" w:rsidRPr="001C430A">
        <w:t xml:space="preserve"> </w:t>
      </w:r>
      <w:r w:rsidR="00476489" w:rsidRPr="001C430A">
        <w:t>F</w:t>
      </w:r>
      <w:r w:rsidR="005F4201" w:rsidRPr="001C430A">
        <w:t>acilitating</w:t>
      </w:r>
      <w:r w:rsidR="00B87706" w:rsidRPr="001C430A">
        <w:t xml:space="preserve"> </w:t>
      </w:r>
      <w:r w:rsidR="00C85FD8" w:rsidRPr="001C430A">
        <w:t>social and economic inclusion</w:t>
      </w:r>
      <w:bookmarkEnd w:id="5"/>
      <w:r w:rsidR="00D037FD" w:rsidRPr="001C430A">
        <w:t xml:space="preserve"> </w:t>
      </w:r>
    </w:p>
    <w:p w14:paraId="129C2652" w14:textId="35E7F81B" w:rsidR="00E35343" w:rsidRPr="00703CD0" w:rsidRDefault="00E35343" w:rsidP="00A719A8">
      <w:pPr>
        <w:jc w:val="both"/>
        <w:rPr>
          <w:i/>
          <w:u w:val="single"/>
        </w:rPr>
      </w:pPr>
      <w:r w:rsidRPr="00703CD0">
        <w:rPr>
          <w:i/>
          <w:u w:val="single"/>
        </w:rPr>
        <w:t>Expected outcome</w:t>
      </w:r>
    </w:p>
    <w:p w14:paraId="1F2606DE" w14:textId="26191A26" w:rsidR="0025794C" w:rsidRPr="00703CD0" w:rsidRDefault="0025794C" w:rsidP="00A719A8">
      <w:pPr>
        <w:jc w:val="both"/>
        <w:rPr>
          <w:i/>
          <w:u w:val="single"/>
        </w:rPr>
      </w:pPr>
      <w:r w:rsidRPr="00A719A8">
        <w:rPr>
          <w:i/>
        </w:rPr>
        <w:t xml:space="preserve">The expected outcome of this roundtable </w:t>
      </w:r>
      <w:r w:rsidR="00432C7B" w:rsidRPr="00A719A8">
        <w:rPr>
          <w:i/>
        </w:rPr>
        <w:t xml:space="preserve">is to </w:t>
      </w:r>
      <w:r w:rsidR="00AC7875" w:rsidRPr="00A719A8">
        <w:rPr>
          <w:i/>
        </w:rPr>
        <w:t xml:space="preserve">facilitate the sharing of models and practices that have worked </w:t>
      </w:r>
      <w:r w:rsidR="00432C7B" w:rsidRPr="00A719A8">
        <w:rPr>
          <w:i/>
        </w:rPr>
        <w:t xml:space="preserve">to provide inclusive solutions that generate benefits for newcomers and </w:t>
      </w:r>
      <w:r w:rsidR="00432C7B" w:rsidRPr="0075326F">
        <w:rPr>
          <w:i/>
        </w:rPr>
        <w:t>locals alike</w:t>
      </w:r>
      <w:r w:rsidR="00432C7B" w:rsidRPr="00A719A8">
        <w:rPr>
          <w:i/>
        </w:rPr>
        <w:t>.</w:t>
      </w:r>
      <w:r w:rsidR="00432C7B" w:rsidRPr="00703CD0">
        <w:rPr>
          <w:i/>
          <w:u w:val="single"/>
        </w:rPr>
        <w:t xml:space="preserve"> </w:t>
      </w:r>
    </w:p>
    <w:p w14:paraId="5E100788" w14:textId="3620BEB2" w:rsidR="00476489" w:rsidRDefault="008D4542" w:rsidP="00A719A8">
      <w:pPr>
        <w:pStyle w:val="ListParagraph"/>
        <w:ind w:left="0"/>
        <w:contextualSpacing w:val="0"/>
        <w:jc w:val="both"/>
      </w:pPr>
      <w:r>
        <w:t xml:space="preserve">The degree of safety and opportunity migrants can find in a host community is closely linked to the sense of safety and opportunity that prevails among locals in that community. </w:t>
      </w:r>
      <w:r w:rsidR="00DC3A93">
        <w:t xml:space="preserve">It is therefore critical to address </w:t>
      </w:r>
      <w:r w:rsidR="00C85FD8">
        <w:t xml:space="preserve">shared </w:t>
      </w:r>
      <w:r w:rsidR="00DC3A93">
        <w:t xml:space="preserve">needs and </w:t>
      </w:r>
      <w:r w:rsidR="00C85FD8">
        <w:t xml:space="preserve">to </w:t>
      </w:r>
      <w:r w:rsidR="00DC3A93">
        <w:t xml:space="preserve">bolster capacities </w:t>
      </w:r>
      <w:r w:rsidR="00B66A79">
        <w:t>in</w:t>
      </w:r>
      <w:r w:rsidR="00DC3A93">
        <w:t xml:space="preserve"> both groups together and, ideally, foster a sense of common purpose. </w:t>
      </w:r>
      <w:r w:rsidR="00C71E9E">
        <w:t xml:space="preserve">This </w:t>
      </w:r>
      <w:r w:rsidR="0076246A">
        <w:t>theme</w:t>
      </w:r>
      <w:r w:rsidR="00DC3A93">
        <w:t xml:space="preserve"> is to </w:t>
      </w:r>
      <w:r w:rsidR="0076246A">
        <w:t>explore</w:t>
      </w:r>
      <w:r w:rsidR="00DC3A93">
        <w:t xml:space="preserve"> </w:t>
      </w:r>
      <w:r w:rsidR="0076246A">
        <w:t xml:space="preserve">the role of political leadership, policy design, resources and capacities </w:t>
      </w:r>
      <w:r w:rsidR="00C85FD8">
        <w:t xml:space="preserve">that are needed at different levels to foster inclusive solutions that generate benefits for newcomers and locals alike. </w:t>
      </w:r>
      <w:r w:rsidR="0076246A">
        <w:t xml:space="preserve">It </w:t>
      </w:r>
      <w:r w:rsidR="00DC3A93">
        <w:t xml:space="preserve">seeks to facilitate learning around </w:t>
      </w:r>
      <w:r>
        <w:t xml:space="preserve">experiences and good practices addressing the challenges and opportunities of settlement, including </w:t>
      </w:r>
      <w:r w:rsidR="0076246A">
        <w:t xml:space="preserve">underlying </w:t>
      </w:r>
      <w:r w:rsidR="00DC3A93">
        <w:t xml:space="preserve">questions such as </w:t>
      </w:r>
      <w:r>
        <w:t>access to s</w:t>
      </w:r>
      <w:r w:rsidR="005041D7">
        <w:t>ecurity of legal status</w:t>
      </w:r>
      <w:r w:rsidR="00DC3A93">
        <w:t xml:space="preserve"> for migrants and refugees</w:t>
      </w:r>
      <w:r w:rsidR="005041D7">
        <w:t xml:space="preserve">, </w:t>
      </w:r>
      <w:r w:rsidR="00DC3A93">
        <w:t xml:space="preserve">provision of </w:t>
      </w:r>
      <w:r w:rsidR="005041D7">
        <w:t>a</w:t>
      </w:r>
      <w:r>
        <w:t xml:space="preserve">dequate </w:t>
      </w:r>
      <w:r w:rsidR="005041D7">
        <w:t xml:space="preserve">housing, </w:t>
      </w:r>
      <w:r w:rsidR="005041D7" w:rsidRPr="008D4542">
        <w:t>health</w:t>
      </w:r>
      <w:r w:rsidRPr="008D4542">
        <w:t>care</w:t>
      </w:r>
      <w:r w:rsidR="005041D7" w:rsidRPr="008D4542">
        <w:t xml:space="preserve"> and education,</w:t>
      </w:r>
      <w:r w:rsidR="00D037FD" w:rsidRPr="008D4542">
        <w:t xml:space="preserve"> </w:t>
      </w:r>
      <w:r w:rsidR="00DC3A93">
        <w:t xml:space="preserve">access to </w:t>
      </w:r>
      <w:r w:rsidRPr="008D4542">
        <w:t xml:space="preserve">work </w:t>
      </w:r>
      <w:r w:rsidR="00D037FD" w:rsidRPr="008D4542">
        <w:t>and livelihoods</w:t>
      </w:r>
      <w:r w:rsidR="00DC3A93">
        <w:t xml:space="preserve">, </w:t>
      </w:r>
      <w:r w:rsidR="0076246A">
        <w:t>and interventions to foster</w:t>
      </w:r>
      <w:r w:rsidR="00DC3A93">
        <w:t xml:space="preserve"> social cohesion</w:t>
      </w:r>
      <w:r w:rsidR="0076246A">
        <w:t xml:space="preserve">, prevent </w:t>
      </w:r>
      <w:r w:rsidR="00D037FD" w:rsidRPr="0062082C">
        <w:t>discrimination and xenophobia</w:t>
      </w:r>
      <w:r w:rsidR="0076246A">
        <w:t xml:space="preserve">, and tackle </w:t>
      </w:r>
      <w:r w:rsidR="00473C55">
        <w:t>labor</w:t>
      </w:r>
      <w:r w:rsidR="0076246A">
        <w:t xml:space="preserve"> </w:t>
      </w:r>
      <w:r w:rsidR="0076246A" w:rsidRPr="0062082C">
        <w:t>exploitation</w:t>
      </w:r>
      <w:r w:rsidR="00D037FD" w:rsidRPr="0062082C">
        <w:t xml:space="preserve">.  </w:t>
      </w:r>
    </w:p>
    <w:p w14:paraId="4194780A" w14:textId="31D3D7BA" w:rsidR="00E35343" w:rsidRPr="00A719A8" w:rsidRDefault="00E35343" w:rsidP="00A719A8">
      <w:pPr>
        <w:pStyle w:val="ListParagraph"/>
        <w:ind w:left="0"/>
        <w:contextualSpacing w:val="0"/>
        <w:jc w:val="both"/>
        <w:rPr>
          <w:i/>
          <w:u w:val="single"/>
        </w:rPr>
      </w:pPr>
      <w:r w:rsidRPr="00A719A8">
        <w:rPr>
          <w:i/>
          <w:u w:val="single"/>
        </w:rPr>
        <w:t>Guiding questions</w:t>
      </w:r>
    </w:p>
    <w:p w14:paraId="47721095" w14:textId="43520AC8" w:rsidR="007408AE" w:rsidRDefault="007408AE" w:rsidP="00A719A8">
      <w:pPr>
        <w:pStyle w:val="ListParagraph"/>
        <w:numPr>
          <w:ilvl w:val="0"/>
          <w:numId w:val="40"/>
        </w:numPr>
        <w:contextualSpacing w:val="0"/>
        <w:jc w:val="both"/>
        <w:rPr>
          <w:i/>
        </w:rPr>
      </w:pPr>
      <w:r>
        <w:rPr>
          <w:i/>
        </w:rPr>
        <w:t>What are the major obstacles to providing migrants and refugees with access to basic services such as health and education? What kinds of partnerships and innovations can ease existing constraints? How do local institutions need to adapt to service the needs of migrant and refugees? How can the costs and benefits be explained to the local population?</w:t>
      </w:r>
    </w:p>
    <w:p w14:paraId="773E0344" w14:textId="24B6EAC0" w:rsidR="00E71453" w:rsidRDefault="00E71453" w:rsidP="00A719A8">
      <w:pPr>
        <w:pStyle w:val="ListParagraph"/>
        <w:numPr>
          <w:ilvl w:val="0"/>
          <w:numId w:val="40"/>
        </w:numPr>
        <w:contextualSpacing w:val="0"/>
        <w:jc w:val="both"/>
        <w:rPr>
          <w:i/>
        </w:rPr>
      </w:pPr>
      <w:r>
        <w:rPr>
          <w:i/>
        </w:rPr>
        <w:t xml:space="preserve">How can efforts to generate livelihoods and ensure access to the </w:t>
      </w:r>
      <w:r w:rsidR="00ED4B27">
        <w:rPr>
          <w:i/>
        </w:rPr>
        <w:t>labor</w:t>
      </w:r>
      <w:r>
        <w:rPr>
          <w:i/>
        </w:rPr>
        <w:t xml:space="preserve"> market benefit newcomers and locals alike? How </w:t>
      </w:r>
      <w:r w:rsidR="000C63C7">
        <w:rPr>
          <w:i/>
        </w:rPr>
        <w:t xml:space="preserve">can </w:t>
      </w:r>
      <w:r w:rsidR="00ED4B27">
        <w:rPr>
          <w:i/>
        </w:rPr>
        <w:t>labor</w:t>
      </w:r>
      <w:r w:rsidR="000C63C7">
        <w:rPr>
          <w:i/>
        </w:rPr>
        <w:t xml:space="preserve"> standards and decent working conditions be safeguarded for all workers? </w:t>
      </w:r>
    </w:p>
    <w:p w14:paraId="053A9CB6" w14:textId="2EC57565" w:rsidR="007408AE" w:rsidRPr="007408AE" w:rsidRDefault="000C63C7" w:rsidP="00A719A8">
      <w:pPr>
        <w:pStyle w:val="ListParagraph"/>
        <w:numPr>
          <w:ilvl w:val="0"/>
          <w:numId w:val="40"/>
        </w:numPr>
        <w:contextualSpacing w:val="0"/>
        <w:jc w:val="both"/>
        <w:rPr>
          <w:i/>
        </w:rPr>
      </w:pPr>
      <w:r w:rsidRPr="007408AE">
        <w:rPr>
          <w:i/>
        </w:rPr>
        <w:t xml:space="preserve">What practices and partnerships have proven successful in </w:t>
      </w:r>
      <w:r w:rsidR="007408AE" w:rsidRPr="007408AE">
        <w:rPr>
          <w:i/>
        </w:rPr>
        <w:t xml:space="preserve">addressing and mitigating mistrust and tensions between newcomers and locals and </w:t>
      </w:r>
      <w:r w:rsidRPr="007408AE">
        <w:rPr>
          <w:i/>
        </w:rPr>
        <w:t>fostering social cohesio</w:t>
      </w:r>
      <w:r w:rsidR="007408AE" w:rsidRPr="007408AE">
        <w:rPr>
          <w:i/>
        </w:rPr>
        <w:t>n?</w:t>
      </w:r>
      <w:r w:rsidR="007408AE">
        <w:rPr>
          <w:i/>
        </w:rPr>
        <w:t xml:space="preserve"> How can </w:t>
      </w:r>
      <w:r w:rsidR="007408AE">
        <w:rPr>
          <w:i/>
        </w:rPr>
        <w:lastRenderedPageBreak/>
        <w:t xml:space="preserve">governments </w:t>
      </w:r>
      <w:r w:rsidR="007408AE" w:rsidRPr="007408AE">
        <w:rPr>
          <w:i/>
        </w:rPr>
        <w:t xml:space="preserve">avoid </w:t>
      </w:r>
      <w:r w:rsidR="007408AE">
        <w:rPr>
          <w:i/>
        </w:rPr>
        <w:t xml:space="preserve">the impression of </w:t>
      </w:r>
      <w:r w:rsidR="007408AE" w:rsidRPr="007408AE">
        <w:rPr>
          <w:i/>
        </w:rPr>
        <w:t>“positive discrimination” of newcomers over receiving communities?</w:t>
      </w:r>
    </w:p>
    <w:p w14:paraId="1EA964FC" w14:textId="6D2B3547" w:rsidR="00E71453" w:rsidRDefault="00E71453" w:rsidP="00A719A8">
      <w:pPr>
        <w:pStyle w:val="ListParagraph"/>
        <w:numPr>
          <w:ilvl w:val="0"/>
          <w:numId w:val="40"/>
        </w:numPr>
        <w:contextualSpacing w:val="0"/>
        <w:jc w:val="both"/>
        <w:rPr>
          <w:i/>
        </w:rPr>
      </w:pPr>
      <w:r>
        <w:rPr>
          <w:i/>
        </w:rPr>
        <w:t xml:space="preserve">How have </w:t>
      </w:r>
      <w:r w:rsidR="000C63C7">
        <w:rPr>
          <w:i/>
        </w:rPr>
        <w:t xml:space="preserve">innovations and </w:t>
      </w:r>
      <w:r>
        <w:rPr>
          <w:i/>
        </w:rPr>
        <w:t>new ways of doing things</w:t>
      </w:r>
      <w:r w:rsidR="000C63C7">
        <w:rPr>
          <w:i/>
        </w:rPr>
        <w:t xml:space="preserve"> that were introduced as part of crisis responses, e.g.</w:t>
      </w:r>
      <w:r>
        <w:rPr>
          <w:i/>
        </w:rPr>
        <w:t xml:space="preserve"> in immigration and local service delivery </w:t>
      </w:r>
      <w:r w:rsidR="000C63C7">
        <w:rPr>
          <w:i/>
        </w:rPr>
        <w:t xml:space="preserve">systems, </w:t>
      </w:r>
      <w:r>
        <w:rPr>
          <w:i/>
        </w:rPr>
        <w:t xml:space="preserve">improved </w:t>
      </w:r>
      <w:r w:rsidR="000C63C7">
        <w:rPr>
          <w:i/>
        </w:rPr>
        <w:t xml:space="preserve">service delivery </w:t>
      </w:r>
      <w:r>
        <w:rPr>
          <w:i/>
        </w:rPr>
        <w:t xml:space="preserve">for all users, including citizens? </w:t>
      </w:r>
      <w:r w:rsidR="00AC7875">
        <w:rPr>
          <w:i/>
        </w:rPr>
        <w:t xml:space="preserve">What role can local community stakeholders, migrants and refugees play in co-creating inclusive solutions? </w:t>
      </w:r>
    </w:p>
    <w:p w14:paraId="339FD0F8" w14:textId="76CF93FC" w:rsidR="006C260B" w:rsidRDefault="006C260B" w:rsidP="00A719A8">
      <w:pPr>
        <w:pStyle w:val="ListParagraph"/>
        <w:jc w:val="both"/>
        <w:rPr>
          <w:i/>
        </w:rPr>
      </w:pPr>
    </w:p>
    <w:p w14:paraId="0AC63CCD" w14:textId="6D51D192" w:rsidR="006870F5" w:rsidRPr="006870F5" w:rsidRDefault="00C014D0" w:rsidP="006870F5">
      <w:pPr>
        <w:pStyle w:val="Heading3"/>
        <w:numPr>
          <w:ilvl w:val="0"/>
          <w:numId w:val="46"/>
        </w:numPr>
      </w:pPr>
      <w:bookmarkStart w:id="6" w:name="_Toc1038534"/>
      <w:r w:rsidRPr="00F94089">
        <w:t>M</w:t>
      </w:r>
      <w:r w:rsidR="00C243F7" w:rsidRPr="00F94089">
        <w:t>igration narratives</w:t>
      </w:r>
      <w:r w:rsidRPr="00F94089">
        <w:t xml:space="preserve"> and communication</w:t>
      </w:r>
      <w:r w:rsidR="008F1B4B" w:rsidRPr="00F94089">
        <w:t>: What role</w:t>
      </w:r>
      <w:r w:rsidR="009D3FE7" w:rsidRPr="00F94089">
        <w:t>,</w:t>
      </w:r>
      <w:r w:rsidR="008F1B4B" w:rsidRPr="00F94089">
        <w:t xml:space="preserve"> </w:t>
      </w:r>
      <w:r w:rsidR="009D3FE7" w:rsidRPr="00F94089">
        <w:t xml:space="preserve">responsibility and </w:t>
      </w:r>
      <w:r w:rsidR="00FB3AE3" w:rsidRPr="00F94089">
        <w:t xml:space="preserve">resources </w:t>
      </w:r>
      <w:r w:rsidR="008F1B4B" w:rsidRPr="00F94089">
        <w:t>do governments have?</w:t>
      </w:r>
      <w:bookmarkEnd w:id="6"/>
      <w:r w:rsidR="008F1B4B" w:rsidRPr="00F94089">
        <w:t xml:space="preserve"> </w:t>
      </w:r>
      <w:r w:rsidRPr="00F94089">
        <w:t xml:space="preserve"> </w:t>
      </w:r>
      <w:r w:rsidR="00C243F7" w:rsidRPr="00F94089">
        <w:t xml:space="preserve"> </w:t>
      </w:r>
      <w:r w:rsidR="00BC512C" w:rsidRPr="00F94089">
        <w:t xml:space="preserve"> </w:t>
      </w:r>
    </w:p>
    <w:p w14:paraId="24407009" w14:textId="54707340" w:rsidR="00647A5D" w:rsidRDefault="002C296D" w:rsidP="00A719A8">
      <w:pPr>
        <w:jc w:val="both"/>
      </w:pPr>
      <w:r>
        <w:t xml:space="preserve">In many countries, migration is an emotive and polarizing topic. </w:t>
      </w:r>
      <w:r w:rsidR="00876ECA">
        <w:t xml:space="preserve">Governments cannot manage migration without considering how </w:t>
      </w:r>
      <w:r w:rsidR="00876ECA" w:rsidRPr="004F1982">
        <w:t>migrants are perceived in society</w:t>
      </w:r>
      <w:r w:rsidR="00876ECA">
        <w:t>. Yet, perceptions of migrants are often influenced by factors that lie beyond the purview of migration policy</w:t>
      </w:r>
      <w:r w:rsidR="00B46331">
        <w:t>,</w:t>
      </w:r>
      <w:r w:rsidR="00876ECA">
        <w:t xml:space="preserve"> such as </w:t>
      </w:r>
      <w:r w:rsidR="00D73C2D">
        <w:t xml:space="preserve">concerns regarding </w:t>
      </w:r>
      <w:r w:rsidR="00647A5D">
        <w:t xml:space="preserve">broader </w:t>
      </w:r>
      <w:r w:rsidR="00D73C2D">
        <w:t xml:space="preserve">social changes, economic </w:t>
      </w:r>
      <w:r w:rsidR="00647A5D">
        <w:t>decline or public safety</w:t>
      </w:r>
      <w:r w:rsidR="00876ECA">
        <w:t xml:space="preserve">. </w:t>
      </w:r>
      <w:r w:rsidR="004703D0">
        <w:t>A</w:t>
      </w:r>
      <w:r w:rsidR="004703D0" w:rsidRPr="005652DC">
        <w:t>ddressing migration</w:t>
      </w:r>
      <w:r w:rsidR="00156ACF">
        <w:t xml:space="preserve"> as a proxy for these larger problems sends</w:t>
      </w:r>
      <w:r w:rsidR="004703D0" w:rsidRPr="005652DC">
        <w:t xml:space="preserve"> the message </w:t>
      </w:r>
      <w:r w:rsidR="00156ACF">
        <w:t>that migrants are indeed t</w:t>
      </w:r>
      <w:r w:rsidR="004703D0" w:rsidRPr="005652DC">
        <w:t>he cause.</w:t>
      </w:r>
      <w:r w:rsidR="00156ACF">
        <w:t xml:space="preserve"> </w:t>
      </w:r>
      <w:r>
        <w:t>E</w:t>
      </w:r>
      <w:r w:rsidR="001E63FB" w:rsidRPr="00A6542D">
        <w:t xml:space="preserve">vidence </w:t>
      </w:r>
      <w:r w:rsidR="00647A5D">
        <w:t xml:space="preserve">that migration contributes to </w:t>
      </w:r>
      <w:r w:rsidR="001E63FB" w:rsidRPr="00A6542D">
        <w:t xml:space="preserve">development </w:t>
      </w:r>
      <w:r w:rsidR="00647A5D">
        <w:t>in</w:t>
      </w:r>
      <w:r w:rsidR="00156ACF">
        <w:t xml:space="preserve"> countries of origin and destination</w:t>
      </w:r>
      <w:r w:rsidR="00AA4C07">
        <w:t>,</w:t>
      </w:r>
      <w:r>
        <w:t xml:space="preserve"> or that migrants are less prone to committing crime than natives</w:t>
      </w:r>
      <w:r w:rsidR="00AA4C07">
        <w:t>,</w:t>
      </w:r>
      <w:r w:rsidR="00156ACF">
        <w:t xml:space="preserve"> </w:t>
      </w:r>
      <w:r>
        <w:t>generally does little to disperse fears,</w:t>
      </w:r>
      <w:r w:rsidR="001E63FB" w:rsidRPr="00A6542D">
        <w:t xml:space="preserve"> </w:t>
      </w:r>
      <w:r>
        <w:t xml:space="preserve">replace existing </w:t>
      </w:r>
      <w:r w:rsidR="00B46331">
        <w:t xml:space="preserve">negative </w:t>
      </w:r>
      <w:r>
        <w:t>images or correct</w:t>
      </w:r>
      <w:r w:rsidR="00647A5D">
        <w:t xml:space="preserve"> mis</w:t>
      </w:r>
      <w:r w:rsidR="00B46331">
        <w:t>perceptions</w:t>
      </w:r>
      <w:r w:rsidR="00A6542D" w:rsidRPr="00A6542D">
        <w:t>.</w:t>
      </w:r>
      <w:r w:rsidR="00A6542D">
        <w:t xml:space="preserve"> </w:t>
      </w:r>
      <w:r w:rsidR="00647A5D">
        <w:t xml:space="preserve">Governments in their policies and own discourse </w:t>
      </w:r>
      <w:r>
        <w:t xml:space="preserve">have an important role in </w:t>
      </w:r>
      <w:r w:rsidR="00647A5D">
        <w:t>set</w:t>
      </w:r>
      <w:r>
        <w:t>ting</w:t>
      </w:r>
      <w:r w:rsidR="00647A5D">
        <w:t xml:space="preserve"> the tone for the national debate, but traditional and social me</w:t>
      </w:r>
      <w:r w:rsidR="00647A5D" w:rsidRPr="004972A7">
        <w:t xml:space="preserve">dia are a powerful force in shaping migration narratives that may not be aligned with official discourse. </w:t>
      </w:r>
      <w:r w:rsidR="004972A7" w:rsidRPr="004972A7">
        <w:t xml:space="preserve">Social media in particular </w:t>
      </w:r>
      <w:r w:rsidR="004972A7">
        <w:t xml:space="preserve">tend to </w:t>
      </w:r>
      <w:r w:rsidR="004972A7" w:rsidRPr="004972A7">
        <w:t xml:space="preserve">have an ‘echo chamber’ effect, whereby people receive information that reinforces their existing views and </w:t>
      </w:r>
      <w:r w:rsidR="000B4B01" w:rsidRPr="004972A7">
        <w:t>beliefs</w:t>
      </w:r>
      <w:r w:rsidR="00AA4C07">
        <w:t>,</w:t>
      </w:r>
      <w:r w:rsidR="000B4B01" w:rsidRPr="004972A7">
        <w:t xml:space="preserve"> and</w:t>
      </w:r>
      <w:r w:rsidR="00B66A79">
        <w:t xml:space="preserve"> is thus prone to </w:t>
      </w:r>
      <w:r w:rsidR="004972A7">
        <w:t xml:space="preserve">driving </w:t>
      </w:r>
      <w:r w:rsidR="004972A7" w:rsidRPr="004972A7">
        <w:t>polarization.</w:t>
      </w:r>
    </w:p>
    <w:p w14:paraId="212F8C7B" w14:textId="39570F68" w:rsidR="005D5457" w:rsidRDefault="002C296D" w:rsidP="00A719A8">
      <w:pPr>
        <w:jc w:val="both"/>
      </w:pPr>
      <w:r>
        <w:t>Governments must communicate their migration policies with the wider public but also with migrants,</w:t>
      </w:r>
      <w:r w:rsidR="00E426B7">
        <w:t xml:space="preserve"> who may be distrustful of government intentions, while language and cultural barriers may give rise to misunderstandings. Migrants are most directly affected by i</w:t>
      </w:r>
      <w:r w:rsidR="00E426B7" w:rsidRPr="005652DC">
        <w:t>naccurate representation</w:t>
      </w:r>
      <w:r w:rsidR="00E426B7">
        <w:t>s</w:t>
      </w:r>
      <w:r w:rsidR="00E426B7" w:rsidRPr="005652DC">
        <w:t xml:space="preserve"> </w:t>
      </w:r>
      <w:r w:rsidR="00E426B7">
        <w:t>of</w:t>
      </w:r>
      <w:r w:rsidR="00E426B7" w:rsidRPr="005652DC">
        <w:t xml:space="preserve"> themselves</w:t>
      </w:r>
      <w:r w:rsidR="00E426B7">
        <w:t xml:space="preserve"> in public discourse and may feel alienated and marginalized as a result. Aspiring migrants are </w:t>
      </w:r>
      <w:r>
        <w:t>often target</w:t>
      </w:r>
      <w:r w:rsidR="00E426B7">
        <w:t>ed by</w:t>
      </w:r>
      <w:r>
        <w:t xml:space="preserve"> misinformation, for instance regarding job opportunities </w:t>
      </w:r>
      <w:r w:rsidR="00B46331">
        <w:t xml:space="preserve">abroad that </w:t>
      </w:r>
      <w:r>
        <w:t>may not exist or offer very different conditions from those</w:t>
      </w:r>
      <w:r w:rsidR="00E426B7">
        <w:t xml:space="preserve"> </w:t>
      </w:r>
      <w:r>
        <w:t xml:space="preserve">advertised. </w:t>
      </w:r>
      <w:r w:rsidR="00E426B7">
        <w:t>Social media serve as an important source of information for many migrants who</w:t>
      </w:r>
      <w:r>
        <w:t xml:space="preserve"> may put greater trust in </w:t>
      </w:r>
      <w:r w:rsidR="0093776F">
        <w:t xml:space="preserve">what is </w:t>
      </w:r>
      <w:r>
        <w:t xml:space="preserve">circulated on social networks than by government services. </w:t>
      </w:r>
      <w:r w:rsidR="00E426B7">
        <w:t xml:space="preserve">Governments </w:t>
      </w:r>
      <w:r w:rsidR="0093776F">
        <w:t xml:space="preserve">in countries of origin and destination </w:t>
      </w:r>
      <w:r w:rsidR="00E426B7">
        <w:t>must not only think carefully about their messaging and channels of communication, but also</w:t>
      </w:r>
      <w:r w:rsidR="0093776F">
        <w:t xml:space="preserve"> about</w:t>
      </w:r>
      <w:r w:rsidR="00E426B7">
        <w:t xml:space="preserve"> their messengers.</w:t>
      </w:r>
    </w:p>
    <w:p w14:paraId="293018F4" w14:textId="774F95B6" w:rsidR="00622B25" w:rsidRDefault="005D5457" w:rsidP="00A719A8">
      <w:pPr>
        <w:jc w:val="both"/>
      </w:pPr>
      <w:r>
        <w:t>Under this second thematic priority</w:t>
      </w:r>
      <w:r w:rsidR="00622B25">
        <w:t>,</w:t>
      </w:r>
      <w:r>
        <w:t xml:space="preserve"> t</w:t>
      </w:r>
      <w:r w:rsidR="00A6542D">
        <w:t xml:space="preserve">he 2019 GFMD </w:t>
      </w:r>
      <w:r w:rsidR="0037202C">
        <w:t xml:space="preserve">aims to </w:t>
      </w:r>
      <w:r>
        <w:t xml:space="preserve">discuss </w:t>
      </w:r>
      <w:r w:rsidR="0037202C">
        <w:t>government</w:t>
      </w:r>
      <w:r w:rsidR="004703D0">
        <w:t xml:space="preserve"> experiences</w:t>
      </w:r>
      <w:r w:rsidR="00F94089">
        <w:t xml:space="preserve">, </w:t>
      </w:r>
      <w:r w:rsidR="004703D0">
        <w:t>practices</w:t>
      </w:r>
      <w:r w:rsidR="00F94089">
        <w:t xml:space="preserve"> and lessons learned</w:t>
      </w:r>
      <w:r w:rsidR="004703D0">
        <w:t xml:space="preserve"> when it comes </w:t>
      </w:r>
      <w:r w:rsidR="00622B25">
        <w:t xml:space="preserve">to </w:t>
      </w:r>
      <w:r w:rsidR="0093776F">
        <w:t xml:space="preserve">communicating about </w:t>
      </w:r>
      <w:r>
        <w:t>migration</w:t>
      </w:r>
      <w:r w:rsidR="000F49BB">
        <w:t>,</w:t>
      </w:r>
      <w:r w:rsidR="0075326F">
        <w:t xml:space="preserve"> </w:t>
      </w:r>
      <w:r w:rsidR="0093776F">
        <w:t>migration policies</w:t>
      </w:r>
      <w:r w:rsidR="000F49BB">
        <w:t xml:space="preserve"> and their interconnection with sustainable development in countries of origin and destinations</w:t>
      </w:r>
      <w:r w:rsidR="00F94089">
        <w:t>,</w:t>
      </w:r>
      <w:r w:rsidR="0093776F">
        <w:t xml:space="preserve"> both with the wider public and with migrants and migrant communities. </w:t>
      </w:r>
    </w:p>
    <w:p w14:paraId="0A8632BE" w14:textId="77777777" w:rsidR="000531C8" w:rsidRDefault="000531C8" w:rsidP="00A719A8">
      <w:pPr>
        <w:jc w:val="both"/>
      </w:pPr>
    </w:p>
    <w:p w14:paraId="3906E821" w14:textId="77777777" w:rsidR="000531C8" w:rsidRDefault="000531C8" w:rsidP="00A719A8">
      <w:pPr>
        <w:jc w:val="both"/>
      </w:pPr>
    </w:p>
    <w:p w14:paraId="46F57012" w14:textId="2DB22EB4" w:rsidR="005A7AA9" w:rsidRPr="001C430A" w:rsidRDefault="00B42F07" w:rsidP="00C3783E">
      <w:pPr>
        <w:pStyle w:val="Heading4"/>
      </w:pPr>
      <w:bookmarkStart w:id="7" w:name="_Toc1038535"/>
      <w:r w:rsidRPr="001C430A">
        <w:t xml:space="preserve">Roundtable 2.1: </w:t>
      </w:r>
      <w:r w:rsidR="0093776F" w:rsidRPr="001C430A">
        <w:t>Shaping public narratives on migration and migrants</w:t>
      </w:r>
      <w:bookmarkEnd w:id="7"/>
    </w:p>
    <w:p w14:paraId="27B6724E" w14:textId="1A10447D" w:rsidR="00E35343" w:rsidRPr="0075326F" w:rsidRDefault="00E35343" w:rsidP="00A719A8">
      <w:pPr>
        <w:pStyle w:val="ListParagraph"/>
        <w:tabs>
          <w:tab w:val="left" w:pos="360"/>
        </w:tabs>
        <w:ind w:left="360" w:hanging="360"/>
        <w:contextualSpacing w:val="0"/>
        <w:jc w:val="both"/>
        <w:rPr>
          <w:i/>
          <w:u w:val="single"/>
        </w:rPr>
      </w:pPr>
      <w:r w:rsidRPr="0075326F">
        <w:rPr>
          <w:i/>
          <w:u w:val="single"/>
        </w:rPr>
        <w:t>Expected outcome</w:t>
      </w:r>
    </w:p>
    <w:p w14:paraId="7D203936" w14:textId="63F941E0" w:rsidR="00432C7B" w:rsidRPr="0075326F" w:rsidRDefault="00432C7B" w:rsidP="00A719A8">
      <w:pPr>
        <w:jc w:val="both"/>
        <w:rPr>
          <w:i/>
        </w:rPr>
      </w:pPr>
      <w:r w:rsidRPr="0075326F">
        <w:rPr>
          <w:i/>
        </w:rPr>
        <w:t>The aim of this roundtable is to critically a</w:t>
      </w:r>
      <w:r w:rsidR="00E71453" w:rsidRPr="0075326F">
        <w:rPr>
          <w:i/>
        </w:rPr>
        <w:t>ss</w:t>
      </w:r>
      <w:r w:rsidRPr="0075326F">
        <w:rPr>
          <w:i/>
        </w:rPr>
        <w:t xml:space="preserve">ess government communication strategies to shape </w:t>
      </w:r>
      <w:r w:rsidR="0075326F" w:rsidRPr="0075326F">
        <w:rPr>
          <w:i/>
        </w:rPr>
        <w:t>public perceptions</w:t>
      </w:r>
      <w:r w:rsidRPr="0075326F">
        <w:rPr>
          <w:i/>
        </w:rPr>
        <w:t xml:space="preserve"> and migration narratives</w:t>
      </w:r>
      <w:r w:rsidR="00AC7875" w:rsidRPr="0075326F">
        <w:rPr>
          <w:i/>
        </w:rPr>
        <w:t xml:space="preserve"> and </w:t>
      </w:r>
      <w:r w:rsidR="00DE4C39" w:rsidRPr="0075326F">
        <w:rPr>
          <w:i/>
        </w:rPr>
        <w:t xml:space="preserve">explore government options to address the </w:t>
      </w:r>
      <w:r w:rsidR="00AC7875" w:rsidRPr="0075326F">
        <w:rPr>
          <w:i/>
        </w:rPr>
        <w:t>challenges aris</w:t>
      </w:r>
      <w:r w:rsidR="00DE4C39" w:rsidRPr="0075326F">
        <w:rPr>
          <w:i/>
        </w:rPr>
        <w:t>ing</w:t>
      </w:r>
      <w:r w:rsidR="00AC7875" w:rsidRPr="0075326F">
        <w:rPr>
          <w:i/>
        </w:rPr>
        <w:t xml:space="preserve"> </w:t>
      </w:r>
      <w:r w:rsidR="00DE4C39" w:rsidRPr="0075326F">
        <w:rPr>
          <w:i/>
        </w:rPr>
        <w:t xml:space="preserve">in the context </w:t>
      </w:r>
      <w:r w:rsidR="00AC7875" w:rsidRPr="0075326F">
        <w:rPr>
          <w:i/>
        </w:rPr>
        <w:t xml:space="preserve">of new media, including the proliferation of misinformation and hate speech </w:t>
      </w:r>
    </w:p>
    <w:p w14:paraId="0A220497" w14:textId="65CCB4EA" w:rsidR="00094BBD" w:rsidRDefault="00F94089" w:rsidP="00A719A8">
      <w:pPr>
        <w:jc w:val="both"/>
      </w:pPr>
      <w:r w:rsidRPr="004972A7">
        <w:lastRenderedPageBreak/>
        <w:t xml:space="preserve">This </w:t>
      </w:r>
      <w:r w:rsidR="000320AC">
        <w:t xml:space="preserve">roundtable </w:t>
      </w:r>
      <w:r w:rsidRPr="004972A7">
        <w:t>will examine government communication strategies and tools to influence public discourse and shape narratives on migration. Issues for discussion will include</w:t>
      </w:r>
      <w:r w:rsidR="00B66A79">
        <w:t xml:space="preserve">: </w:t>
      </w:r>
      <w:r w:rsidRPr="004972A7">
        <w:t>how to effectively use</w:t>
      </w:r>
      <w:r w:rsidR="005A7AA9" w:rsidRPr="004972A7">
        <w:t xml:space="preserve"> </w:t>
      </w:r>
      <w:r w:rsidR="00EF0FB8">
        <w:t xml:space="preserve">normative commitments, </w:t>
      </w:r>
      <w:r w:rsidR="005A7AA9" w:rsidRPr="004972A7">
        <w:t xml:space="preserve">data and </w:t>
      </w:r>
      <w:r w:rsidRPr="004972A7">
        <w:t>evidence regarding migration</w:t>
      </w:r>
      <w:r w:rsidR="004972A7" w:rsidRPr="004972A7">
        <w:t xml:space="preserve"> in public communications;</w:t>
      </w:r>
      <w:r w:rsidRPr="004972A7">
        <w:t xml:space="preserve"> </w:t>
      </w:r>
      <w:r w:rsidR="004972A7" w:rsidRPr="004972A7">
        <w:t xml:space="preserve">how to </w:t>
      </w:r>
      <w:r w:rsidR="00EF0FB8">
        <w:t>engage</w:t>
      </w:r>
      <w:r w:rsidR="004972A7" w:rsidRPr="004972A7">
        <w:t xml:space="preserve"> </w:t>
      </w:r>
      <w:r w:rsidRPr="004972A7">
        <w:t xml:space="preserve">public opinion </w:t>
      </w:r>
      <w:r w:rsidR="004972A7" w:rsidRPr="004972A7">
        <w:t xml:space="preserve">research </w:t>
      </w:r>
      <w:r w:rsidRPr="004972A7">
        <w:t xml:space="preserve">to understand </w:t>
      </w:r>
      <w:r w:rsidR="004972A7" w:rsidRPr="004972A7">
        <w:t xml:space="preserve">perceptions and </w:t>
      </w:r>
      <w:r w:rsidRPr="004972A7">
        <w:t>diverse audiences and connect with their values and concerns</w:t>
      </w:r>
      <w:r w:rsidR="004972A7" w:rsidRPr="004972A7">
        <w:t>;</w:t>
      </w:r>
      <w:r w:rsidR="00582E2F" w:rsidRPr="004972A7">
        <w:t xml:space="preserve"> </w:t>
      </w:r>
      <w:r w:rsidR="004972A7" w:rsidRPr="004972A7">
        <w:t xml:space="preserve">how to understand and engage with a variety of media and their role in shaping public perceptions and discourse; and how to track and </w:t>
      </w:r>
      <w:r w:rsidR="0093776F" w:rsidRPr="004972A7">
        <w:t>tackl</w:t>
      </w:r>
      <w:r w:rsidR="004972A7" w:rsidRPr="004972A7">
        <w:t xml:space="preserve">e </w:t>
      </w:r>
      <w:r w:rsidR="0093776F" w:rsidRPr="004972A7">
        <w:t>the spread of misinformation</w:t>
      </w:r>
      <w:r w:rsidR="00EF0FB8">
        <w:t xml:space="preserve"> and hate speech</w:t>
      </w:r>
      <w:r w:rsidR="004972A7">
        <w:t>, especially on social media,</w:t>
      </w:r>
      <w:r w:rsidR="0093776F" w:rsidRPr="004972A7">
        <w:t xml:space="preserve"> that </w:t>
      </w:r>
      <w:r w:rsidR="004972A7" w:rsidRPr="004972A7">
        <w:t>contributes to societal polarization</w:t>
      </w:r>
      <w:r w:rsidR="00EF0FB8">
        <w:t xml:space="preserve"> and puts migrants at risk</w:t>
      </w:r>
      <w:r w:rsidR="0093776F" w:rsidRPr="004972A7">
        <w:t>.</w:t>
      </w:r>
      <w:r w:rsidR="0097047F">
        <w:t xml:space="preserve"> This discussion should crystallize lessons learned and contribute to the media literacy of participating governments. </w:t>
      </w:r>
      <w:r w:rsidR="005956F2" w:rsidRPr="004972A7">
        <w:t xml:space="preserve"> </w:t>
      </w:r>
      <w:r w:rsidR="006A4380" w:rsidRPr="004972A7">
        <w:t xml:space="preserve"> </w:t>
      </w:r>
    </w:p>
    <w:p w14:paraId="380F34E5" w14:textId="348C71CD" w:rsidR="00E35343" w:rsidRPr="00A719A8" w:rsidRDefault="00E35343" w:rsidP="00A719A8">
      <w:pPr>
        <w:jc w:val="both"/>
        <w:rPr>
          <w:i/>
          <w:u w:val="single"/>
        </w:rPr>
      </w:pPr>
      <w:r w:rsidRPr="00A719A8">
        <w:rPr>
          <w:i/>
          <w:u w:val="single"/>
        </w:rPr>
        <w:t>Guiding questions</w:t>
      </w:r>
    </w:p>
    <w:p w14:paraId="7AA74099" w14:textId="66FBDB01" w:rsidR="00883072" w:rsidRDefault="00883072" w:rsidP="00A719A8">
      <w:pPr>
        <w:pStyle w:val="ListParagraph"/>
        <w:numPr>
          <w:ilvl w:val="0"/>
          <w:numId w:val="41"/>
        </w:numPr>
        <w:jc w:val="both"/>
        <w:rPr>
          <w:i/>
        </w:rPr>
      </w:pPr>
      <w:r>
        <w:rPr>
          <w:i/>
        </w:rPr>
        <w:t>Who guides governments’ public communication efforts on migration? Is it centralized or decentralized? How is messaging coordinated?</w:t>
      </w:r>
    </w:p>
    <w:p w14:paraId="5B0E0350" w14:textId="77777777" w:rsidR="00514110" w:rsidRPr="0075326F" w:rsidRDefault="00514110" w:rsidP="00A719A8">
      <w:pPr>
        <w:pStyle w:val="ListParagraph"/>
        <w:jc w:val="both"/>
        <w:rPr>
          <w:i/>
        </w:rPr>
      </w:pPr>
    </w:p>
    <w:p w14:paraId="382B565F" w14:textId="00DB9ED3" w:rsidR="00883072" w:rsidRDefault="00883072" w:rsidP="00A719A8">
      <w:pPr>
        <w:pStyle w:val="ListParagraph"/>
        <w:numPr>
          <w:ilvl w:val="0"/>
          <w:numId w:val="41"/>
        </w:numPr>
        <w:jc w:val="both"/>
        <w:rPr>
          <w:i/>
        </w:rPr>
      </w:pPr>
      <w:r>
        <w:rPr>
          <w:i/>
        </w:rPr>
        <w:t xml:space="preserve">How do governments develop messaging on migration? Who is involved? What role do opinion research and polls play in that process?  </w:t>
      </w:r>
      <w:r w:rsidR="00514110">
        <w:rPr>
          <w:i/>
        </w:rPr>
        <w:t>How do they measure the impact of their communications effort?</w:t>
      </w:r>
    </w:p>
    <w:p w14:paraId="72C76177" w14:textId="77777777" w:rsidR="00514110" w:rsidRDefault="00514110" w:rsidP="00A719A8">
      <w:pPr>
        <w:pStyle w:val="ListParagraph"/>
        <w:ind w:left="1080"/>
        <w:jc w:val="both"/>
        <w:rPr>
          <w:i/>
        </w:rPr>
      </w:pPr>
    </w:p>
    <w:p w14:paraId="3E27F5C9" w14:textId="1E0CF95F" w:rsidR="00514110" w:rsidRDefault="00514110" w:rsidP="00A719A8">
      <w:pPr>
        <w:pStyle w:val="ListParagraph"/>
        <w:numPr>
          <w:ilvl w:val="0"/>
          <w:numId w:val="41"/>
        </w:numPr>
        <w:jc w:val="both"/>
        <w:rPr>
          <w:i/>
        </w:rPr>
      </w:pPr>
      <w:r>
        <w:rPr>
          <w:i/>
        </w:rPr>
        <w:t>What channels of communication and messengers do governments use to shape narratives on migration? How do they engage with traditional and new media? What kinds of capacities are needed to effectively track messages and communicate on social media?</w:t>
      </w:r>
    </w:p>
    <w:p w14:paraId="12579133" w14:textId="77777777" w:rsidR="00883072" w:rsidRDefault="00883072" w:rsidP="00A719A8">
      <w:pPr>
        <w:pStyle w:val="ListParagraph"/>
        <w:ind w:left="1080"/>
        <w:jc w:val="both"/>
        <w:rPr>
          <w:i/>
        </w:rPr>
      </w:pPr>
    </w:p>
    <w:p w14:paraId="674B03D7" w14:textId="4339EC53" w:rsidR="0093776F" w:rsidRDefault="00883072" w:rsidP="00A719A8">
      <w:pPr>
        <w:pStyle w:val="ListParagraph"/>
        <w:numPr>
          <w:ilvl w:val="0"/>
          <w:numId w:val="41"/>
        </w:numPr>
        <w:jc w:val="both"/>
        <w:rPr>
          <w:i/>
        </w:rPr>
      </w:pPr>
      <w:r>
        <w:rPr>
          <w:i/>
        </w:rPr>
        <w:t xml:space="preserve">What are critical migration-related data points the public cares about? What resonance do normative arguments (e.g. based on human rights, religious beliefs) have with different audiences? </w:t>
      </w:r>
    </w:p>
    <w:p w14:paraId="3A053424" w14:textId="77777777" w:rsidR="00BC1942" w:rsidRPr="0075326F" w:rsidRDefault="00BC1942" w:rsidP="00A719A8">
      <w:pPr>
        <w:pStyle w:val="ListParagraph"/>
        <w:ind w:left="1080"/>
        <w:jc w:val="both"/>
        <w:rPr>
          <w:i/>
        </w:rPr>
      </w:pPr>
    </w:p>
    <w:p w14:paraId="6593CF3C" w14:textId="6266E4DB" w:rsidR="00883072" w:rsidRPr="001A2326" w:rsidRDefault="002973DA" w:rsidP="00A719A8">
      <w:pPr>
        <w:pStyle w:val="ListParagraph"/>
        <w:numPr>
          <w:ilvl w:val="0"/>
          <w:numId w:val="41"/>
        </w:numPr>
        <w:jc w:val="both"/>
        <w:rPr>
          <w:i/>
        </w:rPr>
      </w:pPr>
      <w:r w:rsidRPr="0075326F">
        <w:rPr>
          <w:i/>
        </w:rPr>
        <w:t xml:space="preserve">What lessons learned </w:t>
      </w:r>
      <w:r w:rsidR="00514110">
        <w:rPr>
          <w:i/>
        </w:rPr>
        <w:t xml:space="preserve">from successful and unsuccessful public </w:t>
      </w:r>
      <w:r w:rsidRPr="0075326F">
        <w:rPr>
          <w:i/>
        </w:rPr>
        <w:t xml:space="preserve">communication </w:t>
      </w:r>
      <w:r w:rsidR="00514110">
        <w:rPr>
          <w:i/>
        </w:rPr>
        <w:t xml:space="preserve">efforts </w:t>
      </w:r>
      <w:r w:rsidRPr="0075326F">
        <w:rPr>
          <w:i/>
        </w:rPr>
        <w:t xml:space="preserve">can be shared with other participating states? </w:t>
      </w:r>
      <w:r w:rsidR="00514110">
        <w:rPr>
          <w:i/>
        </w:rPr>
        <w:t>In what circumstances can evidence of</w:t>
      </w:r>
      <w:r w:rsidR="00883072" w:rsidRPr="001A2326">
        <w:rPr>
          <w:i/>
        </w:rPr>
        <w:t xml:space="preserve"> the positive interconnection</w:t>
      </w:r>
      <w:r w:rsidR="00514110">
        <w:rPr>
          <w:i/>
        </w:rPr>
        <w:t>s</w:t>
      </w:r>
      <w:r w:rsidR="00883072" w:rsidRPr="001A2326">
        <w:rPr>
          <w:i/>
        </w:rPr>
        <w:t xml:space="preserve"> between migration and sustainable development </w:t>
      </w:r>
      <w:r w:rsidR="00514110">
        <w:rPr>
          <w:i/>
        </w:rPr>
        <w:t xml:space="preserve">be </w:t>
      </w:r>
      <w:r w:rsidR="00883072" w:rsidRPr="001A2326">
        <w:rPr>
          <w:i/>
        </w:rPr>
        <w:t xml:space="preserve">useful </w:t>
      </w:r>
      <w:r w:rsidR="00514110">
        <w:rPr>
          <w:i/>
        </w:rPr>
        <w:t xml:space="preserve">to </w:t>
      </w:r>
      <w:r w:rsidR="00883072" w:rsidRPr="001A2326">
        <w:rPr>
          <w:i/>
        </w:rPr>
        <w:t xml:space="preserve">influence the migration discourse? </w:t>
      </w:r>
    </w:p>
    <w:p w14:paraId="2CB63439" w14:textId="77777777" w:rsidR="00DE75F6" w:rsidRDefault="00DE75F6" w:rsidP="00C3783E">
      <w:pPr>
        <w:pStyle w:val="Heading4"/>
      </w:pPr>
      <w:bookmarkStart w:id="8" w:name="_Toc1038536"/>
    </w:p>
    <w:p w14:paraId="2EA61583" w14:textId="230163B2" w:rsidR="0093776F" w:rsidRPr="001C430A" w:rsidRDefault="00B42F07" w:rsidP="00C3783E">
      <w:pPr>
        <w:pStyle w:val="Heading4"/>
      </w:pPr>
      <w:r w:rsidRPr="001C430A">
        <w:t xml:space="preserve">Roundtable 2.2: </w:t>
      </w:r>
      <w:r w:rsidR="0093776F" w:rsidRPr="001C430A">
        <w:t xml:space="preserve">Communicating </w:t>
      </w:r>
      <w:r w:rsidR="009608A1" w:rsidRPr="001C430A">
        <w:t xml:space="preserve">effectively </w:t>
      </w:r>
      <w:r w:rsidR="0093776F" w:rsidRPr="001C430A">
        <w:t>with migrants</w:t>
      </w:r>
      <w:bookmarkEnd w:id="8"/>
      <w:r w:rsidR="0093776F" w:rsidRPr="001C430A">
        <w:t xml:space="preserve"> </w:t>
      </w:r>
    </w:p>
    <w:p w14:paraId="318CDA45" w14:textId="25D20F46" w:rsidR="00E35343" w:rsidRPr="0075326F" w:rsidRDefault="00E35343" w:rsidP="00A719A8">
      <w:pPr>
        <w:jc w:val="both"/>
        <w:rPr>
          <w:i/>
          <w:u w:val="single"/>
        </w:rPr>
      </w:pPr>
      <w:r w:rsidRPr="0075326F">
        <w:rPr>
          <w:i/>
          <w:u w:val="single"/>
        </w:rPr>
        <w:t>Expected outcome</w:t>
      </w:r>
    </w:p>
    <w:p w14:paraId="06A0B119" w14:textId="73676712" w:rsidR="004723F7" w:rsidRPr="0075326F" w:rsidRDefault="004723F7" w:rsidP="00A719A8">
      <w:pPr>
        <w:jc w:val="both"/>
        <w:rPr>
          <w:i/>
        </w:rPr>
      </w:pPr>
      <w:r w:rsidRPr="0075326F">
        <w:rPr>
          <w:i/>
        </w:rPr>
        <w:t xml:space="preserve">The objective of this </w:t>
      </w:r>
      <w:r w:rsidR="000320AC">
        <w:rPr>
          <w:i/>
        </w:rPr>
        <w:t>r</w:t>
      </w:r>
      <w:r w:rsidRPr="0075326F">
        <w:rPr>
          <w:i/>
        </w:rPr>
        <w:t xml:space="preserve">oundtable is to </w:t>
      </w:r>
      <w:r w:rsidR="00D93241" w:rsidRPr="0075326F">
        <w:rPr>
          <w:i/>
        </w:rPr>
        <w:t xml:space="preserve">bring out lessons learned and foster a better understanding of </w:t>
      </w:r>
      <w:r w:rsidRPr="0075326F">
        <w:rPr>
          <w:i/>
        </w:rPr>
        <w:t>governments’ goals</w:t>
      </w:r>
      <w:r w:rsidR="000C43E9" w:rsidRPr="0075326F">
        <w:rPr>
          <w:i/>
        </w:rPr>
        <w:t>, tools, challenges and responsibilities when communicating directly with migrants</w:t>
      </w:r>
      <w:r w:rsidR="00D93241" w:rsidRPr="0075326F">
        <w:rPr>
          <w:i/>
        </w:rPr>
        <w:t xml:space="preserve"> </w:t>
      </w:r>
      <w:r w:rsidR="00E71453" w:rsidRPr="0075326F">
        <w:rPr>
          <w:i/>
        </w:rPr>
        <w:t>throughout</w:t>
      </w:r>
      <w:r w:rsidR="00D93241" w:rsidRPr="0075326F">
        <w:rPr>
          <w:i/>
        </w:rPr>
        <w:t xml:space="preserve"> the migration cycle</w:t>
      </w:r>
      <w:r w:rsidR="001C430A">
        <w:rPr>
          <w:i/>
        </w:rPr>
        <w:t>.</w:t>
      </w:r>
      <w:r w:rsidR="000C43E9" w:rsidRPr="0075326F">
        <w:rPr>
          <w:i/>
        </w:rPr>
        <w:t xml:space="preserve"> </w:t>
      </w:r>
    </w:p>
    <w:p w14:paraId="4A68F5AD" w14:textId="4CC8EB06" w:rsidR="005652DC" w:rsidRDefault="004972A7" w:rsidP="00A719A8">
      <w:pPr>
        <w:pStyle w:val="ListParagraph"/>
        <w:ind w:left="0"/>
        <w:contextualSpacing w:val="0"/>
        <w:jc w:val="both"/>
      </w:pPr>
      <w:r>
        <w:t xml:space="preserve">This discussion </w:t>
      </w:r>
      <w:r w:rsidR="001B3AA3">
        <w:t>will facilitate an exchange of experiences around governments’ goals</w:t>
      </w:r>
      <w:r w:rsidR="0097047F">
        <w:t>,</w:t>
      </w:r>
      <w:r w:rsidR="001B3AA3">
        <w:t xml:space="preserve"> tools</w:t>
      </w:r>
      <w:r w:rsidR="0097047F">
        <w:t xml:space="preserve">, challenges and responsibilities </w:t>
      </w:r>
      <w:r w:rsidR="001B3AA3">
        <w:t xml:space="preserve">when it comes to communicating directly with migrants, including for instance in the context of pre-departure information campaigns, as part of consular outreach efforts, in the context of immigration proceedings, </w:t>
      </w:r>
      <w:r w:rsidR="0097047F">
        <w:t>in</w:t>
      </w:r>
      <w:r w:rsidR="001B3AA3">
        <w:t xml:space="preserve"> local integration processes, and to explain and incentivize returns. This dialogue will benefit from </w:t>
      </w:r>
      <w:r w:rsidR="0097047F">
        <w:t xml:space="preserve">consultations with and </w:t>
      </w:r>
      <w:r w:rsidR="001B3AA3">
        <w:t>the insight</w:t>
      </w:r>
      <w:r w:rsidR="0097047F">
        <w:t>s</w:t>
      </w:r>
      <w:r w:rsidR="001B3AA3">
        <w:t xml:space="preserve"> of international and non-governmental organizations as well as local authorities who are often direct interlocutors for migrants</w:t>
      </w:r>
      <w:r w:rsidR="0097047F">
        <w:t>, as well as migrant and diaspora organizations</w:t>
      </w:r>
      <w:r w:rsidR="0025086D" w:rsidRPr="004972A7">
        <w:t xml:space="preserve">. </w:t>
      </w:r>
      <w:r w:rsidR="0097047F">
        <w:t>It should allow policy-makers to reflect on the effectiveness and ethical implications of their communication practices.</w:t>
      </w:r>
    </w:p>
    <w:p w14:paraId="407C3B35" w14:textId="77777777" w:rsidR="0082500B" w:rsidRDefault="0082500B" w:rsidP="00A719A8">
      <w:pPr>
        <w:pStyle w:val="ListParagraph"/>
        <w:ind w:left="0"/>
        <w:contextualSpacing w:val="0"/>
        <w:jc w:val="both"/>
        <w:rPr>
          <w:i/>
          <w:u w:val="single"/>
        </w:rPr>
      </w:pPr>
    </w:p>
    <w:p w14:paraId="52ED21B7" w14:textId="7D889BB9" w:rsidR="00E35343" w:rsidRPr="00A719A8" w:rsidRDefault="00E35343" w:rsidP="00A719A8">
      <w:pPr>
        <w:pStyle w:val="ListParagraph"/>
        <w:ind w:left="0"/>
        <w:contextualSpacing w:val="0"/>
        <w:jc w:val="both"/>
        <w:rPr>
          <w:i/>
          <w:u w:val="single"/>
        </w:rPr>
      </w:pPr>
      <w:r w:rsidRPr="00A719A8">
        <w:rPr>
          <w:i/>
          <w:u w:val="single"/>
        </w:rPr>
        <w:lastRenderedPageBreak/>
        <w:t>Guiding questions</w:t>
      </w:r>
    </w:p>
    <w:p w14:paraId="2CD6EA2B" w14:textId="09ECE4B0" w:rsidR="003E7064" w:rsidRDefault="003E7064" w:rsidP="00A719A8">
      <w:pPr>
        <w:pStyle w:val="ListParagraph"/>
        <w:numPr>
          <w:ilvl w:val="0"/>
          <w:numId w:val="45"/>
        </w:numPr>
        <w:contextualSpacing w:val="0"/>
        <w:jc w:val="both"/>
        <w:rPr>
          <w:i/>
        </w:rPr>
      </w:pPr>
      <w:r>
        <w:rPr>
          <w:i/>
        </w:rPr>
        <w:t xml:space="preserve">What goals do different parts </w:t>
      </w:r>
      <w:r w:rsidR="00BC1942">
        <w:rPr>
          <w:i/>
        </w:rPr>
        <w:t xml:space="preserve">and levels </w:t>
      </w:r>
      <w:r>
        <w:rPr>
          <w:i/>
        </w:rPr>
        <w:t xml:space="preserve">of governments pursue in their communications with migrants? </w:t>
      </w:r>
      <w:r w:rsidR="00BC1942">
        <w:rPr>
          <w:i/>
        </w:rPr>
        <w:t xml:space="preserve">Can and should governments ensure overall coherence in their messaging and communications? </w:t>
      </w:r>
    </w:p>
    <w:p w14:paraId="2703239B" w14:textId="10767ED7" w:rsidR="00BC1942" w:rsidRDefault="00BC1942" w:rsidP="00A719A8">
      <w:pPr>
        <w:pStyle w:val="ListParagraph"/>
        <w:numPr>
          <w:ilvl w:val="0"/>
          <w:numId w:val="45"/>
        </w:numPr>
        <w:contextualSpacing w:val="0"/>
        <w:jc w:val="both"/>
        <w:rPr>
          <w:i/>
        </w:rPr>
      </w:pPr>
      <w:r>
        <w:rPr>
          <w:i/>
        </w:rPr>
        <w:t xml:space="preserve">How can governments make their information accessible to migrants? How can they be responsive to migrants? </w:t>
      </w:r>
      <w:r w:rsidRPr="001A2326">
        <w:rPr>
          <w:i/>
        </w:rPr>
        <w:t>Are certain communication practices/channels with migrants more useful than others?</w:t>
      </w:r>
      <w:r>
        <w:rPr>
          <w:i/>
        </w:rPr>
        <w:t xml:space="preserve"> </w:t>
      </w:r>
      <w:r w:rsidRPr="001A2326">
        <w:rPr>
          <w:i/>
        </w:rPr>
        <w:t>If so, why</w:t>
      </w:r>
      <w:r>
        <w:rPr>
          <w:i/>
        </w:rPr>
        <w:t xml:space="preserve"> and for what purpose</w:t>
      </w:r>
      <w:r w:rsidRPr="001A2326">
        <w:rPr>
          <w:i/>
        </w:rPr>
        <w:t>?</w:t>
      </w:r>
      <w:r>
        <w:rPr>
          <w:i/>
        </w:rPr>
        <w:t xml:space="preserve"> </w:t>
      </w:r>
    </w:p>
    <w:p w14:paraId="438E6401" w14:textId="6CC5B436" w:rsidR="00BC1942" w:rsidRPr="001A2326" w:rsidRDefault="00BC1942" w:rsidP="00A719A8">
      <w:pPr>
        <w:pStyle w:val="ListParagraph"/>
        <w:numPr>
          <w:ilvl w:val="0"/>
          <w:numId w:val="45"/>
        </w:numPr>
        <w:contextualSpacing w:val="0"/>
        <w:jc w:val="both"/>
        <w:rPr>
          <w:i/>
        </w:rPr>
      </w:pPr>
      <w:r>
        <w:rPr>
          <w:i/>
        </w:rPr>
        <w:t>How can governments establish trust with migrants? What messengers have they used to communicate with migrants?</w:t>
      </w:r>
    </w:p>
    <w:p w14:paraId="21B47EB3" w14:textId="725E51F4" w:rsidR="00BC1942" w:rsidRDefault="003E7064" w:rsidP="00A719A8">
      <w:pPr>
        <w:pStyle w:val="ListParagraph"/>
        <w:numPr>
          <w:ilvl w:val="0"/>
          <w:numId w:val="45"/>
        </w:numPr>
        <w:contextualSpacing w:val="0"/>
        <w:jc w:val="both"/>
        <w:rPr>
          <w:i/>
        </w:rPr>
      </w:pPr>
      <w:r>
        <w:rPr>
          <w:i/>
        </w:rPr>
        <w:t xml:space="preserve">How </w:t>
      </w:r>
      <w:r w:rsidR="00BC1942">
        <w:rPr>
          <w:i/>
        </w:rPr>
        <w:t xml:space="preserve">can governments and other stakeholders </w:t>
      </w:r>
      <w:r>
        <w:rPr>
          <w:i/>
        </w:rPr>
        <w:t>tackle fraudulent information directed at migrants?</w:t>
      </w:r>
      <w:r w:rsidR="00BC1942">
        <w:rPr>
          <w:i/>
        </w:rPr>
        <w:t xml:space="preserve"> What role can migrants and their networks play in vetting information (peer-review)? </w:t>
      </w:r>
      <w:r>
        <w:rPr>
          <w:i/>
        </w:rPr>
        <w:t xml:space="preserve"> </w:t>
      </w:r>
    </w:p>
    <w:p w14:paraId="7CCAF1DA" w14:textId="0E5CFEB4" w:rsidR="000C43E9" w:rsidRPr="007A7C82" w:rsidRDefault="00BC1942" w:rsidP="00A719A8">
      <w:pPr>
        <w:pStyle w:val="ListParagraph"/>
        <w:numPr>
          <w:ilvl w:val="0"/>
          <w:numId w:val="45"/>
        </w:numPr>
        <w:contextualSpacing w:val="0"/>
        <w:jc w:val="both"/>
        <w:rPr>
          <w:i/>
        </w:rPr>
      </w:pPr>
      <w:r>
        <w:rPr>
          <w:i/>
        </w:rPr>
        <w:t xml:space="preserve">How can governments and other stakeholders measure the effectiveness of their communication efforts, e.g.  do </w:t>
      </w:r>
      <w:r w:rsidR="000C43E9" w:rsidRPr="007A7C82">
        <w:rPr>
          <w:i/>
        </w:rPr>
        <w:t>pre-departure campaigns lead to more informed migration decisions?</w:t>
      </w:r>
    </w:p>
    <w:p w14:paraId="2FFA37E4" w14:textId="4FEF903E" w:rsidR="00D94D15" w:rsidRDefault="000C43E9" w:rsidP="006870F5">
      <w:pPr>
        <w:pStyle w:val="ListParagraph"/>
        <w:numPr>
          <w:ilvl w:val="0"/>
          <w:numId w:val="42"/>
        </w:numPr>
        <w:contextualSpacing w:val="0"/>
        <w:jc w:val="both"/>
        <w:rPr>
          <w:i/>
        </w:rPr>
      </w:pPr>
      <w:r w:rsidRPr="007A7C82">
        <w:rPr>
          <w:i/>
        </w:rPr>
        <w:t>To what extent do successful communication practices incentivize voluntary return and sustainable reintegration?</w:t>
      </w:r>
    </w:p>
    <w:p w14:paraId="4B4AAC71" w14:textId="77777777" w:rsidR="006870F5" w:rsidRPr="006870F5" w:rsidRDefault="006870F5" w:rsidP="006870F5">
      <w:pPr>
        <w:pStyle w:val="ListParagraph"/>
        <w:contextualSpacing w:val="0"/>
        <w:jc w:val="both"/>
        <w:rPr>
          <w:i/>
        </w:rPr>
      </w:pPr>
    </w:p>
    <w:p w14:paraId="347D7051" w14:textId="4EF609AB" w:rsidR="006870F5" w:rsidRPr="006870F5" w:rsidRDefault="00B22204" w:rsidP="006870F5">
      <w:pPr>
        <w:pStyle w:val="Heading3"/>
        <w:numPr>
          <w:ilvl w:val="0"/>
          <w:numId w:val="46"/>
        </w:numPr>
        <w:spacing w:after="240"/>
      </w:pPr>
      <w:bookmarkStart w:id="9" w:name="_Toc1038537"/>
      <w:r w:rsidRPr="00F94089">
        <w:t>Addressing h</w:t>
      </w:r>
      <w:r w:rsidR="00657D2B" w:rsidRPr="00F94089">
        <w:t>uman mobility a</w:t>
      </w:r>
      <w:r w:rsidRPr="00F94089">
        <w:t xml:space="preserve">s part of </w:t>
      </w:r>
      <w:r w:rsidR="0090063D" w:rsidRPr="00F94089">
        <w:t xml:space="preserve">urban and rural </w:t>
      </w:r>
      <w:r w:rsidRPr="00F94089">
        <w:t>development strategies</w:t>
      </w:r>
      <w:bookmarkEnd w:id="9"/>
    </w:p>
    <w:p w14:paraId="787F7A1F" w14:textId="34C331FB" w:rsidR="00CB0F4F" w:rsidRDefault="00B22204" w:rsidP="00A719A8">
      <w:pPr>
        <w:jc w:val="both"/>
      </w:pPr>
      <w:r>
        <w:t>In July 2019, the High</w:t>
      </w:r>
      <w:r w:rsidR="001977D9">
        <w:t>-</w:t>
      </w:r>
      <w:r>
        <w:t>Level Political Forum</w:t>
      </w:r>
      <w:r w:rsidR="000F49BB">
        <w:t xml:space="preserve"> (HLPF)</w:t>
      </w:r>
      <w:r>
        <w:t xml:space="preserve"> </w:t>
      </w:r>
      <w:r w:rsidR="001977D9">
        <w:t xml:space="preserve">on Sustainable Development </w:t>
      </w:r>
      <w:r>
        <w:t xml:space="preserve">will be reviewing </w:t>
      </w:r>
      <w:r w:rsidR="00B75722" w:rsidRPr="00824171">
        <w:t>SDG</w:t>
      </w:r>
      <w:r w:rsidR="004A1372">
        <w:t xml:space="preserve"> 10 </w:t>
      </w:r>
      <w:r w:rsidR="0090063D">
        <w:t xml:space="preserve">which aims to </w:t>
      </w:r>
      <w:r>
        <w:t>“</w:t>
      </w:r>
      <w:r w:rsidR="0090063D">
        <w:t>reduce inequalit</w:t>
      </w:r>
      <w:r>
        <w:t>y</w:t>
      </w:r>
      <w:r w:rsidR="0090063D">
        <w:t xml:space="preserve"> within and among countries</w:t>
      </w:r>
      <w:r>
        <w:t>”</w:t>
      </w:r>
      <w:r w:rsidR="00645714">
        <w:t xml:space="preserve">, </w:t>
      </w:r>
      <w:r w:rsidR="00CB0F4F">
        <w:t>including</w:t>
      </w:r>
      <w:r w:rsidR="00645714">
        <w:t xml:space="preserve"> </w:t>
      </w:r>
      <w:r w:rsidR="00CB0F4F">
        <w:t>through targets c</w:t>
      </w:r>
      <w:r w:rsidR="00645714">
        <w:t>alling for well-managed migration policies and a reduction in remittance transfer costs</w:t>
      </w:r>
      <w:r w:rsidR="001977D9">
        <w:t xml:space="preserve">. </w:t>
      </w:r>
      <w:r w:rsidR="00CB0F4F">
        <w:t>The goal</w:t>
      </w:r>
      <w:r w:rsidR="001977D9">
        <w:t xml:space="preserve"> </w:t>
      </w:r>
      <w:r w:rsidR="00DD4D36">
        <w:t>dovetails with</w:t>
      </w:r>
      <w:r w:rsidR="001977D9">
        <w:t xml:space="preserve"> </w:t>
      </w:r>
      <w:r w:rsidR="00CD35E5">
        <w:t xml:space="preserve">the overarching promise </w:t>
      </w:r>
      <w:r w:rsidR="001977D9">
        <w:t>of the SDG</w:t>
      </w:r>
      <w:r w:rsidR="001977D9" w:rsidRPr="00824171">
        <w:t>s</w:t>
      </w:r>
      <w:r w:rsidR="00D43F7A">
        <w:t xml:space="preserve"> </w:t>
      </w:r>
      <w:r w:rsidR="001977D9">
        <w:t xml:space="preserve">to </w:t>
      </w:r>
      <w:r w:rsidR="00D43F7A">
        <w:t>“</w:t>
      </w:r>
      <w:r w:rsidR="001977D9">
        <w:t>leave no one behind</w:t>
      </w:r>
      <w:r w:rsidR="00D43F7A">
        <w:t>”</w:t>
      </w:r>
      <w:r w:rsidR="00477D23">
        <w:t xml:space="preserve">. </w:t>
      </w:r>
      <w:r w:rsidR="00CD35E5">
        <w:t xml:space="preserve">Getting there </w:t>
      </w:r>
      <w:r w:rsidR="00D93241">
        <w:t xml:space="preserve">will </w:t>
      </w:r>
      <w:r w:rsidR="00CB0F4F">
        <w:t>require</w:t>
      </w:r>
      <w:r w:rsidR="000F49BB">
        <w:t xml:space="preserve"> </w:t>
      </w:r>
      <w:r w:rsidR="00CD35E5">
        <w:t xml:space="preserve">measurement of development progress </w:t>
      </w:r>
      <w:r w:rsidR="001977D9">
        <w:t xml:space="preserve">beyond </w:t>
      </w:r>
      <w:r w:rsidR="001977D9" w:rsidRPr="00824171">
        <w:t>national averages</w:t>
      </w:r>
      <w:r w:rsidR="00CD35E5">
        <w:t xml:space="preserve"> and</w:t>
      </w:r>
      <w:r w:rsidR="00636A64">
        <w:t xml:space="preserve"> tackl</w:t>
      </w:r>
      <w:r w:rsidR="00CD35E5">
        <w:t>ing</w:t>
      </w:r>
      <w:r w:rsidR="00636A64">
        <w:t xml:space="preserve"> </w:t>
      </w:r>
      <w:r w:rsidR="001977D9" w:rsidRPr="00824171">
        <w:t>differen</w:t>
      </w:r>
      <w:r w:rsidR="001977D9">
        <w:t xml:space="preserve">ces </w:t>
      </w:r>
      <w:r w:rsidR="00D43F7A">
        <w:t xml:space="preserve">in prosperity, resilience and social cohesion </w:t>
      </w:r>
      <w:r w:rsidR="001977D9">
        <w:t xml:space="preserve">across national </w:t>
      </w:r>
      <w:r w:rsidR="001977D9" w:rsidRPr="00824171">
        <w:t xml:space="preserve">territories and </w:t>
      </w:r>
      <w:r w:rsidR="001977D9">
        <w:t>groups of people</w:t>
      </w:r>
      <w:r w:rsidR="001977D9" w:rsidRPr="00824171">
        <w:t xml:space="preserve">. </w:t>
      </w:r>
      <w:r w:rsidR="00CB0F4F">
        <w:t xml:space="preserve">For </w:t>
      </w:r>
      <w:r w:rsidR="004008A3">
        <w:t xml:space="preserve">policymakers concerned with </w:t>
      </w:r>
      <w:r w:rsidR="00CB0F4F">
        <w:t xml:space="preserve">the </w:t>
      </w:r>
      <w:r w:rsidR="004008A3">
        <w:t xml:space="preserve">interlinkages of </w:t>
      </w:r>
      <w:r w:rsidR="00CB0F4F">
        <w:t>migration</w:t>
      </w:r>
      <w:r w:rsidR="004008A3">
        <w:t xml:space="preserve"> and </w:t>
      </w:r>
      <w:r w:rsidR="00CB0F4F">
        <w:t>development</w:t>
      </w:r>
      <w:r w:rsidR="004008A3">
        <w:t>,</w:t>
      </w:r>
      <w:r w:rsidR="00CB0F4F">
        <w:t xml:space="preserve"> this means </w:t>
      </w:r>
      <w:r w:rsidR="004008A3">
        <w:t xml:space="preserve">paying </w:t>
      </w:r>
      <w:r w:rsidR="00CB0F4F">
        <w:t>close</w:t>
      </w:r>
      <w:r w:rsidR="004008A3">
        <w:t xml:space="preserve"> attention to </w:t>
      </w:r>
      <w:r w:rsidR="00CB0F4F">
        <w:t xml:space="preserve">the way migration interacts with </w:t>
      </w:r>
      <w:r w:rsidR="004008A3">
        <w:t>existing inequities and territorial dynamics; for instance, whether and how it</w:t>
      </w:r>
      <w:r w:rsidR="00CB0F4F">
        <w:t xml:space="preserve"> </w:t>
      </w:r>
      <w:r w:rsidR="004008A3">
        <w:t>contributes</w:t>
      </w:r>
      <w:r w:rsidR="00CB0F4F">
        <w:t xml:space="preserve"> or counter-balance</w:t>
      </w:r>
      <w:r w:rsidR="004008A3">
        <w:t>s</w:t>
      </w:r>
      <w:r w:rsidR="00CB0F4F">
        <w:t xml:space="preserve"> the concentration of people and resources in </w:t>
      </w:r>
      <w:r w:rsidR="00D93241">
        <w:t xml:space="preserve">certain areas of a country or region. </w:t>
      </w:r>
      <w:r w:rsidR="00CB0F4F">
        <w:t xml:space="preserve">   </w:t>
      </w:r>
    </w:p>
    <w:p w14:paraId="62B89416" w14:textId="5D76343F" w:rsidR="00C215AC" w:rsidRDefault="004008A3" w:rsidP="00A719A8">
      <w:pPr>
        <w:jc w:val="both"/>
      </w:pPr>
      <w:r>
        <w:t>C</w:t>
      </w:r>
      <w:r w:rsidR="00E01FAC">
        <w:t xml:space="preserve">ities and urban areas </w:t>
      </w:r>
      <w:r>
        <w:t>will be a</w:t>
      </w:r>
      <w:r w:rsidR="00E01FAC">
        <w:t xml:space="preserve"> </w:t>
      </w:r>
      <w:r w:rsidR="00687BBB">
        <w:t>central locus for realizing sustainable development aspirations</w:t>
      </w:r>
      <w:r>
        <w:t xml:space="preserve"> in this century</w:t>
      </w:r>
      <w:r w:rsidR="00E01FAC">
        <w:t>. As they a</w:t>
      </w:r>
      <w:r w:rsidR="00687BBB">
        <w:t>re rapidly absorbing a growing share of the world population</w:t>
      </w:r>
      <w:r w:rsidR="00BE791A">
        <w:t>, including a majority of migrants and refugees</w:t>
      </w:r>
      <w:r w:rsidR="00E01FAC">
        <w:t xml:space="preserve">, </w:t>
      </w:r>
      <w:r w:rsidR="00B74CBC">
        <w:t>c</w:t>
      </w:r>
      <w:r w:rsidR="00C215AC">
        <w:t xml:space="preserve">ities </w:t>
      </w:r>
      <w:r w:rsidR="00B74CBC">
        <w:t xml:space="preserve">must </w:t>
      </w:r>
      <w:r w:rsidR="00C215AC">
        <w:t>manag</w:t>
      </w:r>
      <w:r w:rsidR="00B74CBC">
        <w:t>e</w:t>
      </w:r>
      <w:r w:rsidR="00C215AC">
        <w:t xml:space="preserve"> growing </w:t>
      </w:r>
      <w:r w:rsidR="00B74CBC">
        <w:t>demands on their infrastructure and services</w:t>
      </w:r>
      <w:r w:rsidR="00E01FAC">
        <w:t>, while reducing their carbon footprint,</w:t>
      </w:r>
      <w:r w:rsidR="00B74CBC">
        <w:t xml:space="preserve"> and facilitat</w:t>
      </w:r>
      <w:r w:rsidR="00E01FAC">
        <w:t>ing</w:t>
      </w:r>
      <w:r w:rsidR="00B74CBC">
        <w:t xml:space="preserve"> </w:t>
      </w:r>
      <w:r w:rsidR="00E01FAC">
        <w:t xml:space="preserve">the </w:t>
      </w:r>
      <w:r w:rsidR="00B74CBC">
        <w:t xml:space="preserve">living together of </w:t>
      </w:r>
      <w:r w:rsidR="00C215AC">
        <w:t>divers</w:t>
      </w:r>
      <w:r w:rsidR="00B74CBC">
        <w:t>e communities</w:t>
      </w:r>
      <w:r w:rsidR="00E01FAC">
        <w:t>. Meanwhile, e</w:t>
      </w:r>
      <w:r w:rsidR="00B74CBC">
        <w:t>migration and the inflow of</w:t>
      </w:r>
      <w:r w:rsidR="00C215AC">
        <w:t xml:space="preserve"> remittances are</w:t>
      </w:r>
      <w:r w:rsidR="00B74CBC">
        <w:t xml:space="preserve"> </w:t>
      </w:r>
      <w:r w:rsidR="00C215AC">
        <w:t xml:space="preserve">transforming rural economies in some parts of the world, </w:t>
      </w:r>
      <w:r w:rsidR="00CD35E5">
        <w:t>wh</w:t>
      </w:r>
      <w:r w:rsidR="00E01FAC">
        <w:t>ile</w:t>
      </w:r>
      <w:r w:rsidR="00636A64">
        <w:t xml:space="preserve"> </w:t>
      </w:r>
      <w:r w:rsidR="00C215AC">
        <w:t>migrant workers</w:t>
      </w:r>
      <w:r w:rsidR="00B74CBC">
        <w:t xml:space="preserve"> help keep agricultur</w:t>
      </w:r>
      <w:r w:rsidR="00477D23">
        <w:t>al production</w:t>
      </w:r>
      <w:r w:rsidR="00B74CBC">
        <w:t xml:space="preserve"> afloat</w:t>
      </w:r>
      <w:r w:rsidR="00636A64">
        <w:t xml:space="preserve"> in others</w:t>
      </w:r>
      <w:r w:rsidR="00C215AC">
        <w:t xml:space="preserve">. </w:t>
      </w:r>
    </w:p>
    <w:p w14:paraId="2D55BF27" w14:textId="483116FC" w:rsidR="008D1BD9" w:rsidRDefault="004008A3" w:rsidP="00A719A8">
      <w:pPr>
        <w:jc w:val="both"/>
      </w:pPr>
      <w:r>
        <w:t>In the spirit of the New Urban Agenda, adopted in Quito in 2016, t</w:t>
      </w:r>
      <w:r w:rsidR="001B0FC3">
        <w:t xml:space="preserve">his </w:t>
      </w:r>
      <w:r w:rsidR="00B0074A">
        <w:t xml:space="preserve">theme is to </w:t>
      </w:r>
      <w:r>
        <w:t>facilitate a dialogue between different levels of government on</w:t>
      </w:r>
      <w:r w:rsidR="00A068A4" w:rsidRPr="00A068A4">
        <w:t xml:space="preserve"> </w:t>
      </w:r>
      <w:r w:rsidR="00477D23">
        <w:t xml:space="preserve">how national and </w:t>
      </w:r>
      <w:r w:rsidR="0030533B">
        <w:t>local</w:t>
      </w:r>
      <w:r w:rsidR="00477D23">
        <w:t xml:space="preserve"> </w:t>
      </w:r>
      <w:r>
        <w:t xml:space="preserve">authorities </w:t>
      </w:r>
      <w:r w:rsidR="00477D23">
        <w:t xml:space="preserve">can work together within and across borders to facilitate the </w:t>
      </w:r>
      <w:r w:rsidR="00B0074A">
        <w:t xml:space="preserve">contributions of migrants and migration </w:t>
      </w:r>
      <w:r>
        <w:t>to</w:t>
      </w:r>
      <w:r w:rsidR="00B0074A">
        <w:t xml:space="preserve"> </w:t>
      </w:r>
      <w:r>
        <w:t xml:space="preserve">both </w:t>
      </w:r>
      <w:r w:rsidR="00B0074A">
        <w:t xml:space="preserve">urban and rural </w:t>
      </w:r>
      <w:r>
        <w:t>development</w:t>
      </w:r>
      <w:r w:rsidR="00A068A4">
        <w:t>.</w:t>
      </w:r>
      <w:r w:rsidR="00477D23">
        <w:t xml:space="preserve"> </w:t>
      </w:r>
    </w:p>
    <w:p w14:paraId="64FE4B3E" w14:textId="77777777" w:rsidR="00DE75F6" w:rsidRDefault="00DE75F6" w:rsidP="00C3783E">
      <w:pPr>
        <w:pStyle w:val="Heading4"/>
      </w:pPr>
      <w:bookmarkStart w:id="10" w:name="_Toc1038538"/>
    </w:p>
    <w:p w14:paraId="328665FE" w14:textId="32D26988" w:rsidR="00F94089" w:rsidRPr="001C430A" w:rsidRDefault="00B42F07" w:rsidP="00C3783E">
      <w:pPr>
        <w:pStyle w:val="Heading4"/>
      </w:pPr>
      <w:r w:rsidRPr="001C430A">
        <w:t xml:space="preserve">Roundtable 3.1: </w:t>
      </w:r>
      <w:r w:rsidR="00EF0FB8" w:rsidRPr="001C430A">
        <w:t>Supporting a</w:t>
      </w:r>
      <w:r w:rsidR="00F94089" w:rsidRPr="001C430A">
        <w:t>rrival cities</w:t>
      </w:r>
      <w:r w:rsidR="00D94D14" w:rsidRPr="001C430A">
        <w:t xml:space="preserve"> through policy coherence and multi-stakeholder partnerships</w:t>
      </w:r>
      <w:bookmarkEnd w:id="10"/>
    </w:p>
    <w:p w14:paraId="3EF499AC" w14:textId="4237FECA" w:rsidR="00E35343" w:rsidRPr="00A719A8" w:rsidRDefault="00E35343" w:rsidP="00A719A8">
      <w:pPr>
        <w:jc w:val="both"/>
        <w:rPr>
          <w:i/>
          <w:u w:val="single"/>
        </w:rPr>
      </w:pPr>
      <w:r w:rsidRPr="00A719A8">
        <w:rPr>
          <w:i/>
          <w:u w:val="single"/>
        </w:rPr>
        <w:t>Expected outcome</w:t>
      </w:r>
    </w:p>
    <w:p w14:paraId="793653FC" w14:textId="1C99EDFB" w:rsidR="009D5EEF" w:rsidRPr="00A719A8" w:rsidRDefault="009D5EEF" w:rsidP="00A719A8">
      <w:pPr>
        <w:jc w:val="both"/>
        <w:rPr>
          <w:i/>
        </w:rPr>
      </w:pPr>
      <w:r w:rsidRPr="00A719A8">
        <w:rPr>
          <w:i/>
        </w:rPr>
        <w:t xml:space="preserve">The expected outcome of this roundtable is to </w:t>
      </w:r>
      <w:r w:rsidR="00D93241" w:rsidRPr="00A719A8">
        <w:rPr>
          <w:i/>
        </w:rPr>
        <w:t>identify</w:t>
      </w:r>
      <w:r w:rsidRPr="00A719A8">
        <w:rPr>
          <w:i/>
        </w:rPr>
        <w:t xml:space="preserve"> factors that make cities </w:t>
      </w:r>
      <w:r w:rsidR="00D93241" w:rsidRPr="00A719A8">
        <w:rPr>
          <w:i/>
        </w:rPr>
        <w:t>functioning places of</w:t>
      </w:r>
      <w:r w:rsidRPr="00A719A8">
        <w:rPr>
          <w:i/>
        </w:rPr>
        <w:t xml:space="preserve"> welcoming and integration </w:t>
      </w:r>
      <w:r w:rsidR="00D93241" w:rsidRPr="00A719A8">
        <w:rPr>
          <w:i/>
        </w:rPr>
        <w:t>and to understand the role that national governments and other partners can play in facilitating cities’ success</w:t>
      </w:r>
      <w:r w:rsidR="00F24183" w:rsidRPr="00A719A8">
        <w:rPr>
          <w:i/>
        </w:rPr>
        <w:t>.</w:t>
      </w:r>
      <w:r w:rsidR="00042D4A" w:rsidRPr="00A719A8">
        <w:rPr>
          <w:i/>
        </w:rPr>
        <w:t xml:space="preserve"> </w:t>
      </w:r>
    </w:p>
    <w:p w14:paraId="2F5EFD0D" w14:textId="0D81766F" w:rsidR="008D1BD9" w:rsidRDefault="004008A3" w:rsidP="00A719A8">
      <w:pPr>
        <w:pStyle w:val="ListParagraph"/>
        <w:ind w:left="0"/>
        <w:contextualSpacing w:val="0"/>
        <w:jc w:val="both"/>
      </w:pPr>
      <w:r>
        <w:t>In migrants’ daily lives, c</w:t>
      </w:r>
      <w:r w:rsidR="00CD35E5" w:rsidRPr="004008A3">
        <w:t>it</w:t>
      </w:r>
      <w:r w:rsidR="006A37FF">
        <w:t>y</w:t>
      </w:r>
      <w:r w:rsidR="00CD35E5" w:rsidRPr="004008A3">
        <w:t xml:space="preserve"> </w:t>
      </w:r>
      <w:r>
        <w:t>and local authorities tend to shape their experience of and relati</w:t>
      </w:r>
      <w:r w:rsidR="006A37FF">
        <w:t xml:space="preserve">onship to </w:t>
      </w:r>
      <w:r>
        <w:t>the State</w:t>
      </w:r>
      <w:r w:rsidR="00CD35E5" w:rsidRPr="004008A3">
        <w:t xml:space="preserve">. </w:t>
      </w:r>
      <w:r w:rsidR="008D1BD9" w:rsidRPr="004008A3">
        <w:t>Some cities have become successful “a</w:t>
      </w:r>
      <w:r w:rsidR="003B7C91" w:rsidRPr="004008A3">
        <w:t>rrival</w:t>
      </w:r>
      <w:r w:rsidR="0090063D" w:rsidRPr="004008A3">
        <w:t xml:space="preserve"> cities</w:t>
      </w:r>
      <w:r w:rsidR="008D1BD9" w:rsidRPr="004008A3">
        <w:t xml:space="preserve">” </w:t>
      </w:r>
      <w:r w:rsidR="006A37FF">
        <w:t xml:space="preserve">that offer newcomers opportunities for belonging and upward social mobility, </w:t>
      </w:r>
      <w:r w:rsidR="008D1BD9" w:rsidRPr="004008A3">
        <w:t xml:space="preserve">while others struggle with </w:t>
      </w:r>
      <w:r w:rsidR="006A37FF">
        <w:t xml:space="preserve">the persistence of marginalized communities and </w:t>
      </w:r>
      <w:r w:rsidR="008D1BD9" w:rsidRPr="004008A3">
        <w:t xml:space="preserve">segregation. </w:t>
      </w:r>
      <w:r w:rsidR="006A37FF">
        <w:t xml:space="preserve">This theme will explore what </w:t>
      </w:r>
      <w:r w:rsidR="008D1BD9" w:rsidRPr="004008A3">
        <w:t xml:space="preserve">makes some </w:t>
      </w:r>
      <w:r w:rsidR="0090063D" w:rsidRPr="004008A3">
        <w:t xml:space="preserve">cities </w:t>
      </w:r>
      <w:r w:rsidR="008D1BD9" w:rsidRPr="004008A3">
        <w:t xml:space="preserve">more </w:t>
      </w:r>
      <w:r w:rsidR="0090063D" w:rsidRPr="004008A3">
        <w:t xml:space="preserve">welcoming </w:t>
      </w:r>
      <w:r w:rsidR="008D1BD9" w:rsidRPr="004008A3">
        <w:t xml:space="preserve">and functioning </w:t>
      </w:r>
      <w:r w:rsidR="006A37FF">
        <w:t xml:space="preserve">as </w:t>
      </w:r>
      <w:r w:rsidR="008D1BD9" w:rsidRPr="004008A3">
        <w:t>motors of integration than others</w:t>
      </w:r>
      <w:r w:rsidR="006A37FF">
        <w:t>. It will look at good practices in cities as well as c</w:t>
      </w:r>
      <w:r w:rsidR="003B7C91" w:rsidRPr="004008A3">
        <w:t xml:space="preserve">hallenges and bottlenecks </w:t>
      </w:r>
      <w:r w:rsidR="006A37FF">
        <w:t>facing</w:t>
      </w:r>
      <w:r w:rsidR="003B7C91" w:rsidRPr="004008A3">
        <w:t xml:space="preserve"> city governments </w:t>
      </w:r>
      <w:r w:rsidR="006A37FF">
        <w:t>and discuss the role of policy coherence and cooperation a</w:t>
      </w:r>
      <w:r w:rsidR="007A03C5" w:rsidRPr="004008A3">
        <w:t xml:space="preserve">cross levels of governance </w:t>
      </w:r>
      <w:r w:rsidR="006A37FF">
        <w:t xml:space="preserve">in facilitating migrants’ </w:t>
      </w:r>
      <w:r w:rsidR="0093776F">
        <w:t xml:space="preserve">inclusion in </w:t>
      </w:r>
      <w:r w:rsidR="006A37FF">
        <w:t xml:space="preserve">and contribution to urban development. </w:t>
      </w:r>
    </w:p>
    <w:p w14:paraId="133F7375" w14:textId="03DB0DDF" w:rsidR="00E35343" w:rsidRPr="00547628" w:rsidRDefault="00E35343" w:rsidP="00A719A8">
      <w:pPr>
        <w:pStyle w:val="ListParagraph"/>
        <w:ind w:left="0"/>
        <w:contextualSpacing w:val="0"/>
        <w:jc w:val="both"/>
        <w:rPr>
          <w:i/>
          <w:u w:val="single"/>
        </w:rPr>
      </w:pPr>
      <w:r w:rsidRPr="00547628">
        <w:rPr>
          <w:i/>
          <w:u w:val="single"/>
        </w:rPr>
        <w:t>Guiding questions</w:t>
      </w:r>
    </w:p>
    <w:p w14:paraId="699AA9E0" w14:textId="603B54BA" w:rsidR="00D16DD6" w:rsidRPr="00F35572" w:rsidRDefault="00F35572" w:rsidP="00A719A8">
      <w:pPr>
        <w:pStyle w:val="ListParagraph"/>
        <w:numPr>
          <w:ilvl w:val="0"/>
          <w:numId w:val="43"/>
        </w:numPr>
        <w:contextualSpacing w:val="0"/>
        <w:jc w:val="both"/>
        <w:rPr>
          <w:i/>
        </w:rPr>
      </w:pPr>
      <w:r w:rsidRPr="00F35572">
        <w:rPr>
          <w:i/>
        </w:rPr>
        <w:t>What factors contribute to making cities places of upward social mobility for migrants?</w:t>
      </w:r>
      <w:r>
        <w:rPr>
          <w:i/>
        </w:rPr>
        <w:t xml:space="preserve"> W</w:t>
      </w:r>
      <w:r w:rsidR="00D16DD6" w:rsidRPr="00F35572">
        <w:rPr>
          <w:i/>
        </w:rPr>
        <w:t xml:space="preserve">hat policies are </w:t>
      </w:r>
      <w:r w:rsidR="00D16DD6" w:rsidRPr="00163D45">
        <w:rPr>
          <w:i/>
        </w:rPr>
        <w:t xml:space="preserve">critical for ensuring migrants’ successful integration in cities? How </w:t>
      </w:r>
      <w:r w:rsidR="00D16DD6" w:rsidRPr="00F35572">
        <w:rPr>
          <w:i/>
        </w:rPr>
        <w:t xml:space="preserve">much authority do cities have in setting policy </w:t>
      </w:r>
      <w:r w:rsidRPr="00F35572">
        <w:rPr>
          <w:i/>
        </w:rPr>
        <w:t xml:space="preserve">in those areas </w:t>
      </w:r>
      <w:r w:rsidR="00D16DD6" w:rsidRPr="00F35572">
        <w:rPr>
          <w:i/>
        </w:rPr>
        <w:t xml:space="preserve">and how much is determined at higher levels of government? </w:t>
      </w:r>
    </w:p>
    <w:p w14:paraId="024F7172" w14:textId="5EB139A9" w:rsidR="00F35572" w:rsidRPr="001A2326" w:rsidRDefault="00D16DD6" w:rsidP="00A719A8">
      <w:pPr>
        <w:pStyle w:val="ListParagraph"/>
        <w:numPr>
          <w:ilvl w:val="0"/>
          <w:numId w:val="43"/>
        </w:numPr>
        <w:contextualSpacing w:val="0"/>
        <w:jc w:val="both"/>
        <w:rPr>
          <w:i/>
        </w:rPr>
      </w:pPr>
      <w:r>
        <w:rPr>
          <w:i/>
        </w:rPr>
        <w:t xml:space="preserve">What </w:t>
      </w:r>
      <w:r w:rsidR="00F35572">
        <w:rPr>
          <w:i/>
        </w:rPr>
        <w:t xml:space="preserve">role does </w:t>
      </w:r>
      <w:r>
        <w:rPr>
          <w:i/>
        </w:rPr>
        <w:t xml:space="preserve">coordination </w:t>
      </w:r>
      <w:r w:rsidR="00F35572">
        <w:rPr>
          <w:i/>
        </w:rPr>
        <w:t xml:space="preserve">between different levels of government play in migration policy development and implementation? What are good practices in this regard? </w:t>
      </w:r>
      <w:r w:rsidR="00F35572" w:rsidRPr="00F35572">
        <w:rPr>
          <w:i/>
        </w:rPr>
        <w:t xml:space="preserve"> </w:t>
      </w:r>
      <w:r w:rsidR="00F35572" w:rsidRPr="001A2326">
        <w:rPr>
          <w:i/>
        </w:rPr>
        <w:t>Wh</w:t>
      </w:r>
      <w:r w:rsidR="00F35572">
        <w:rPr>
          <w:i/>
        </w:rPr>
        <w:t xml:space="preserve">at are obstacles to </w:t>
      </w:r>
      <w:r w:rsidR="00F35572" w:rsidRPr="001A2326">
        <w:rPr>
          <w:i/>
        </w:rPr>
        <w:t xml:space="preserve">effective policy coherence and cooperation </w:t>
      </w:r>
      <w:r w:rsidR="00F35572">
        <w:rPr>
          <w:i/>
        </w:rPr>
        <w:t>across different levels of government</w:t>
      </w:r>
      <w:r w:rsidR="00F35572" w:rsidRPr="001A2326">
        <w:rPr>
          <w:i/>
        </w:rPr>
        <w:t xml:space="preserve">? </w:t>
      </w:r>
    </w:p>
    <w:p w14:paraId="1C57A70E" w14:textId="689FC5F1" w:rsidR="00042D4A" w:rsidRPr="00547628" w:rsidRDefault="00042D4A" w:rsidP="00A719A8">
      <w:pPr>
        <w:pStyle w:val="ListParagraph"/>
        <w:numPr>
          <w:ilvl w:val="0"/>
          <w:numId w:val="43"/>
        </w:numPr>
        <w:contextualSpacing w:val="0"/>
        <w:jc w:val="both"/>
        <w:rPr>
          <w:i/>
        </w:rPr>
      </w:pPr>
      <w:r w:rsidRPr="00547628">
        <w:rPr>
          <w:i/>
        </w:rPr>
        <w:t xml:space="preserve">What </w:t>
      </w:r>
      <w:r w:rsidR="00F35572">
        <w:rPr>
          <w:i/>
        </w:rPr>
        <w:t xml:space="preserve">other local </w:t>
      </w:r>
      <w:r w:rsidRPr="00547628">
        <w:rPr>
          <w:i/>
        </w:rPr>
        <w:t xml:space="preserve">actors </w:t>
      </w:r>
      <w:r w:rsidR="00F35572">
        <w:rPr>
          <w:i/>
        </w:rPr>
        <w:t xml:space="preserve">are important for </w:t>
      </w:r>
      <w:r w:rsidRPr="00547628">
        <w:rPr>
          <w:i/>
        </w:rPr>
        <w:t>facilitating migrants´ inclusion and contribution to urban development?</w:t>
      </w:r>
      <w:r w:rsidR="00706DD5" w:rsidRPr="00547628">
        <w:rPr>
          <w:i/>
        </w:rPr>
        <w:t xml:space="preserve"> What </w:t>
      </w:r>
      <w:r w:rsidR="00F35572">
        <w:rPr>
          <w:i/>
        </w:rPr>
        <w:t xml:space="preserve">role do </w:t>
      </w:r>
      <w:r w:rsidR="00706DD5" w:rsidRPr="00547628">
        <w:rPr>
          <w:i/>
        </w:rPr>
        <w:t xml:space="preserve">multi-stakeholder partnerships </w:t>
      </w:r>
      <w:r w:rsidR="00F35572">
        <w:rPr>
          <w:i/>
        </w:rPr>
        <w:t xml:space="preserve">play </w:t>
      </w:r>
      <w:r w:rsidR="00706DD5" w:rsidRPr="00547628">
        <w:rPr>
          <w:i/>
        </w:rPr>
        <w:t>in this context?</w:t>
      </w:r>
    </w:p>
    <w:p w14:paraId="0778AA61" w14:textId="77777777" w:rsidR="00F24183" w:rsidRDefault="00F24183" w:rsidP="00A719A8">
      <w:pPr>
        <w:jc w:val="both"/>
        <w:rPr>
          <w:u w:val="single"/>
        </w:rPr>
      </w:pPr>
    </w:p>
    <w:p w14:paraId="49A7A19D" w14:textId="334829E1" w:rsidR="00F94089" w:rsidRPr="001C430A" w:rsidRDefault="00E35343" w:rsidP="00C3783E">
      <w:pPr>
        <w:pStyle w:val="Heading4"/>
      </w:pPr>
      <w:bookmarkStart w:id="11" w:name="_Toc1038539"/>
      <w:r w:rsidRPr="001C430A">
        <w:t xml:space="preserve">Roundtable 3.2: </w:t>
      </w:r>
      <w:r w:rsidR="00EF0FB8" w:rsidRPr="001C430A">
        <w:t>Harnessing migration for r</w:t>
      </w:r>
      <w:r w:rsidR="00F94089" w:rsidRPr="001C430A">
        <w:t>ural transformation</w:t>
      </w:r>
      <w:r w:rsidR="005E7062" w:rsidRPr="001C430A">
        <w:t xml:space="preserve"> and development</w:t>
      </w:r>
      <w:bookmarkEnd w:id="11"/>
    </w:p>
    <w:p w14:paraId="0083459B" w14:textId="20601EA7" w:rsidR="00E35343" w:rsidRPr="00A719A8" w:rsidRDefault="00E35343" w:rsidP="00A719A8">
      <w:pPr>
        <w:jc w:val="both"/>
        <w:rPr>
          <w:i/>
          <w:u w:val="single"/>
        </w:rPr>
      </w:pPr>
      <w:r w:rsidRPr="00A719A8">
        <w:rPr>
          <w:i/>
          <w:u w:val="single"/>
        </w:rPr>
        <w:t>Expected outcome</w:t>
      </w:r>
    </w:p>
    <w:p w14:paraId="2284AAA3" w14:textId="69D76FFA" w:rsidR="006E64BA" w:rsidRPr="00A719A8" w:rsidRDefault="006E7E1B" w:rsidP="00A719A8">
      <w:pPr>
        <w:jc w:val="both"/>
        <w:rPr>
          <w:i/>
        </w:rPr>
      </w:pPr>
      <w:r w:rsidRPr="00A719A8">
        <w:rPr>
          <w:i/>
        </w:rPr>
        <w:t xml:space="preserve">The objective of this roundtable is to discuss what policy choices governments have when it comes to </w:t>
      </w:r>
      <w:r w:rsidR="00E71453" w:rsidRPr="00A719A8">
        <w:rPr>
          <w:i/>
        </w:rPr>
        <w:t xml:space="preserve">enhancing the positive and mitigating the negative effects of </w:t>
      </w:r>
      <w:r w:rsidRPr="00A719A8">
        <w:rPr>
          <w:i/>
        </w:rPr>
        <w:t xml:space="preserve">migration and remittances for </w:t>
      </w:r>
      <w:r w:rsidR="00281B45" w:rsidRPr="00A719A8">
        <w:rPr>
          <w:i/>
        </w:rPr>
        <w:t xml:space="preserve">resilience-building and </w:t>
      </w:r>
      <w:r w:rsidRPr="00A719A8">
        <w:rPr>
          <w:i/>
        </w:rPr>
        <w:t xml:space="preserve">transformation </w:t>
      </w:r>
      <w:r w:rsidR="00281B45" w:rsidRPr="00A719A8">
        <w:rPr>
          <w:i/>
        </w:rPr>
        <w:t>in</w:t>
      </w:r>
      <w:r w:rsidRPr="00A719A8">
        <w:rPr>
          <w:i/>
        </w:rPr>
        <w:t xml:space="preserve"> rural areas</w:t>
      </w:r>
      <w:r w:rsidR="00E71453" w:rsidRPr="00A719A8">
        <w:rPr>
          <w:i/>
        </w:rPr>
        <w:t>.</w:t>
      </w:r>
      <w:r w:rsidRPr="00A719A8">
        <w:rPr>
          <w:i/>
        </w:rPr>
        <w:t xml:space="preserve"> </w:t>
      </w:r>
    </w:p>
    <w:p w14:paraId="01E86CDA" w14:textId="61CACE68" w:rsidR="000F7702" w:rsidRDefault="008D1BD9" w:rsidP="00A719A8">
      <w:pPr>
        <w:pStyle w:val="ListParagraph"/>
        <w:ind w:left="0"/>
        <w:contextualSpacing w:val="0"/>
        <w:jc w:val="both"/>
      </w:pPr>
      <w:r w:rsidRPr="004008A3">
        <w:t xml:space="preserve">Development strategies in many countries have tended to focus on </w:t>
      </w:r>
      <w:r w:rsidR="00726B5E" w:rsidRPr="004008A3">
        <w:t xml:space="preserve">preventing </w:t>
      </w:r>
      <w:r w:rsidRPr="004008A3">
        <w:t xml:space="preserve">rural </w:t>
      </w:r>
      <w:r w:rsidR="00726B5E" w:rsidRPr="004008A3">
        <w:t xml:space="preserve">flight and </w:t>
      </w:r>
      <w:r w:rsidR="000F7702" w:rsidRPr="004008A3">
        <w:t>ste</w:t>
      </w:r>
      <w:r w:rsidR="00726B5E" w:rsidRPr="004008A3">
        <w:t xml:space="preserve">mming migration into </w:t>
      </w:r>
      <w:r w:rsidR="000F7702" w:rsidRPr="004008A3">
        <w:t xml:space="preserve">overcrowded </w:t>
      </w:r>
      <w:r w:rsidR="00726B5E" w:rsidRPr="004008A3">
        <w:t xml:space="preserve">cities. Yet, </w:t>
      </w:r>
      <w:r w:rsidR="00DC39BF" w:rsidRPr="004008A3">
        <w:t xml:space="preserve">as changing climate </w:t>
      </w:r>
      <w:r w:rsidR="000F7702" w:rsidRPr="004008A3">
        <w:t xml:space="preserve">threatens to undermine livelihoods that heavily depend on natural resources vulnerable to </w:t>
      </w:r>
      <w:r w:rsidR="00DC39BF" w:rsidRPr="004008A3">
        <w:t>droughts</w:t>
      </w:r>
      <w:r w:rsidR="000F7702" w:rsidRPr="004008A3">
        <w:t xml:space="preserve">, floods and other environmental impacts, </w:t>
      </w:r>
      <w:r w:rsidR="00DC39BF" w:rsidRPr="004008A3">
        <w:t xml:space="preserve">governments </w:t>
      </w:r>
      <w:r w:rsidR="000F7702" w:rsidRPr="004008A3">
        <w:t>may increasingly</w:t>
      </w:r>
      <w:r w:rsidR="00DC39BF" w:rsidRPr="004008A3">
        <w:t xml:space="preserve"> </w:t>
      </w:r>
      <w:r w:rsidR="000F7702" w:rsidRPr="004008A3">
        <w:t>need to consider human mobility as part of</w:t>
      </w:r>
      <w:r w:rsidR="00DC39BF" w:rsidRPr="004008A3">
        <w:t xml:space="preserve"> rural resilience building </w:t>
      </w:r>
      <w:r w:rsidR="000F7702" w:rsidRPr="004008A3">
        <w:t>strategies.</w:t>
      </w:r>
      <w:r w:rsidR="00DD1B9C">
        <w:t xml:space="preserve"> This session will discuss the role of migration and remittances in the transformation of rural areas and what policy makers can do to enhance positive and mitigate negative effects. It will also look at migration into rural areas, especially for work in agriculture and related industries, and how these movements and conditions for migrant workers may be affected by changes in agricultural practices in the context of climate change.</w:t>
      </w:r>
    </w:p>
    <w:p w14:paraId="59041DCB" w14:textId="77777777" w:rsidR="000531C8" w:rsidRDefault="000531C8" w:rsidP="00A719A8">
      <w:pPr>
        <w:pStyle w:val="ListParagraph"/>
        <w:ind w:left="0"/>
        <w:contextualSpacing w:val="0"/>
        <w:jc w:val="both"/>
      </w:pPr>
    </w:p>
    <w:p w14:paraId="4120E9B5" w14:textId="77777777" w:rsidR="000531C8" w:rsidRDefault="000531C8" w:rsidP="00A719A8">
      <w:pPr>
        <w:pStyle w:val="ListParagraph"/>
        <w:ind w:left="0"/>
        <w:contextualSpacing w:val="0"/>
        <w:jc w:val="both"/>
      </w:pPr>
    </w:p>
    <w:p w14:paraId="28CB0381" w14:textId="422E9E5A" w:rsidR="00E35343" w:rsidRPr="00BF6E40" w:rsidRDefault="00E35343" w:rsidP="00A719A8">
      <w:pPr>
        <w:pStyle w:val="ListParagraph"/>
        <w:ind w:left="0"/>
        <w:contextualSpacing w:val="0"/>
        <w:jc w:val="both"/>
        <w:rPr>
          <w:i/>
        </w:rPr>
      </w:pPr>
      <w:r w:rsidRPr="00BF6E40">
        <w:rPr>
          <w:i/>
        </w:rPr>
        <w:t>Guiding questions</w:t>
      </w:r>
    </w:p>
    <w:p w14:paraId="117DAF5A" w14:textId="6432BF69" w:rsidR="002F72F4" w:rsidRPr="00BF6E40" w:rsidRDefault="00163D45" w:rsidP="00A719A8">
      <w:pPr>
        <w:pStyle w:val="ListParagraph"/>
        <w:numPr>
          <w:ilvl w:val="0"/>
          <w:numId w:val="44"/>
        </w:numPr>
        <w:contextualSpacing w:val="0"/>
        <w:jc w:val="both"/>
        <w:rPr>
          <w:i/>
        </w:rPr>
      </w:pPr>
      <w:r>
        <w:rPr>
          <w:i/>
        </w:rPr>
        <w:t xml:space="preserve">What drives migration out of rural areas? Is migration more of a problem or a solution for rural development and </w:t>
      </w:r>
      <w:r w:rsidR="00F24183">
        <w:rPr>
          <w:i/>
        </w:rPr>
        <w:t>resilience</w:t>
      </w:r>
      <w:r>
        <w:rPr>
          <w:i/>
        </w:rPr>
        <w:t>-building</w:t>
      </w:r>
      <w:r w:rsidR="002F72F4" w:rsidRPr="00BF6E40">
        <w:rPr>
          <w:i/>
        </w:rPr>
        <w:t>?</w:t>
      </w:r>
      <w:r>
        <w:rPr>
          <w:i/>
        </w:rPr>
        <w:t xml:space="preserve"> What lessons have governments and partners learned in trying to address “rural flight”?</w:t>
      </w:r>
    </w:p>
    <w:p w14:paraId="38F0C96F" w14:textId="3AA9323A" w:rsidR="0069793F" w:rsidRDefault="002F72F4" w:rsidP="00A719A8">
      <w:pPr>
        <w:pStyle w:val="ListParagraph"/>
        <w:numPr>
          <w:ilvl w:val="0"/>
          <w:numId w:val="44"/>
        </w:numPr>
        <w:contextualSpacing w:val="0"/>
        <w:jc w:val="both"/>
        <w:rPr>
          <w:i/>
        </w:rPr>
      </w:pPr>
      <w:r w:rsidRPr="00BF6E40">
        <w:rPr>
          <w:i/>
        </w:rPr>
        <w:t xml:space="preserve">What </w:t>
      </w:r>
      <w:r w:rsidR="00163D45">
        <w:rPr>
          <w:i/>
        </w:rPr>
        <w:t xml:space="preserve">kinds of </w:t>
      </w:r>
      <w:r w:rsidRPr="00BF6E40">
        <w:rPr>
          <w:i/>
        </w:rPr>
        <w:t xml:space="preserve">policy </w:t>
      </w:r>
      <w:r w:rsidR="00163D45">
        <w:rPr>
          <w:i/>
        </w:rPr>
        <w:t>interventions can</w:t>
      </w:r>
      <w:r w:rsidRPr="00BF6E40">
        <w:rPr>
          <w:i/>
        </w:rPr>
        <w:t xml:space="preserve"> enhance </w:t>
      </w:r>
      <w:r w:rsidR="00163D45">
        <w:rPr>
          <w:i/>
        </w:rPr>
        <w:t xml:space="preserve">the </w:t>
      </w:r>
      <w:r w:rsidRPr="00BF6E40">
        <w:rPr>
          <w:i/>
        </w:rPr>
        <w:t xml:space="preserve">positive effects and mitigate </w:t>
      </w:r>
      <w:r w:rsidR="00163D45">
        <w:rPr>
          <w:i/>
        </w:rPr>
        <w:t xml:space="preserve">the </w:t>
      </w:r>
      <w:r w:rsidRPr="00BF6E40">
        <w:rPr>
          <w:i/>
        </w:rPr>
        <w:t xml:space="preserve">negative effects of migration </w:t>
      </w:r>
      <w:r w:rsidR="00163D45">
        <w:rPr>
          <w:i/>
        </w:rPr>
        <w:t>out of</w:t>
      </w:r>
      <w:r w:rsidRPr="00BF6E40">
        <w:rPr>
          <w:i/>
        </w:rPr>
        <w:t xml:space="preserve"> rural areas?</w:t>
      </w:r>
      <w:r w:rsidR="0069793F">
        <w:rPr>
          <w:i/>
        </w:rPr>
        <w:t xml:space="preserve"> What </w:t>
      </w:r>
      <w:r w:rsidR="001967FD">
        <w:rPr>
          <w:i/>
        </w:rPr>
        <w:t xml:space="preserve">is the </w:t>
      </w:r>
      <w:r w:rsidR="0069793F">
        <w:rPr>
          <w:i/>
        </w:rPr>
        <w:t xml:space="preserve">role </w:t>
      </w:r>
      <w:r w:rsidR="001967FD">
        <w:rPr>
          <w:i/>
        </w:rPr>
        <w:t>of</w:t>
      </w:r>
      <w:r w:rsidR="0069793F">
        <w:rPr>
          <w:i/>
        </w:rPr>
        <w:t xml:space="preserve"> cooperation between national and local governments and between rural and urban areas? </w:t>
      </w:r>
    </w:p>
    <w:p w14:paraId="791847C3" w14:textId="26E7220B" w:rsidR="002F72F4" w:rsidRPr="00BF6E40" w:rsidRDefault="0069793F" w:rsidP="00A719A8">
      <w:pPr>
        <w:pStyle w:val="ListParagraph"/>
        <w:numPr>
          <w:ilvl w:val="0"/>
          <w:numId w:val="44"/>
        </w:numPr>
        <w:contextualSpacing w:val="0"/>
        <w:jc w:val="both"/>
        <w:rPr>
          <w:i/>
        </w:rPr>
      </w:pPr>
      <w:r>
        <w:rPr>
          <w:i/>
        </w:rPr>
        <w:t>What role do remittances play in rural areas and how can they be leveraged to support rural development and resilience-building? What bottlenecks exist in this regard and who needs to come together to address those?</w:t>
      </w:r>
    </w:p>
    <w:p w14:paraId="046F7F48" w14:textId="2363B62A" w:rsidR="002F72F4" w:rsidRPr="00BF6E40" w:rsidRDefault="00163D45" w:rsidP="00A719A8">
      <w:pPr>
        <w:pStyle w:val="ListParagraph"/>
        <w:numPr>
          <w:ilvl w:val="0"/>
          <w:numId w:val="44"/>
        </w:numPr>
        <w:contextualSpacing w:val="0"/>
        <w:jc w:val="both"/>
        <w:rPr>
          <w:i/>
        </w:rPr>
      </w:pPr>
      <w:r>
        <w:rPr>
          <w:i/>
        </w:rPr>
        <w:t xml:space="preserve">What drives migration into rural </w:t>
      </w:r>
      <w:r w:rsidR="0069793F">
        <w:rPr>
          <w:i/>
        </w:rPr>
        <w:t xml:space="preserve">areas? How might the transformation of rural areas and agricultural production affect migrant farm workers? </w:t>
      </w:r>
    </w:p>
    <w:p w14:paraId="50F8D1BA" w14:textId="77777777" w:rsidR="00E920FC" w:rsidRDefault="00E920FC" w:rsidP="00A719A8">
      <w:pPr>
        <w:pStyle w:val="ListParagraph"/>
        <w:ind w:left="1080"/>
        <w:jc w:val="both"/>
      </w:pPr>
    </w:p>
    <w:p w14:paraId="0DA1F9A6" w14:textId="669FF427" w:rsidR="001C5F35" w:rsidRPr="001C430A" w:rsidRDefault="00BC512C" w:rsidP="00A719A8">
      <w:pPr>
        <w:pStyle w:val="Heading2"/>
        <w:jc w:val="both"/>
        <w:rPr>
          <w:b/>
          <w:i/>
          <w:color w:val="auto"/>
          <w:sz w:val="28"/>
        </w:rPr>
      </w:pPr>
      <w:bookmarkStart w:id="12" w:name="_Toc1038540"/>
      <w:r w:rsidRPr="001C430A">
        <w:rPr>
          <w:b/>
          <w:i/>
          <w:color w:val="auto"/>
          <w:sz w:val="28"/>
        </w:rPr>
        <w:t>Priorities for the GFMD process</w:t>
      </w:r>
      <w:bookmarkEnd w:id="12"/>
    </w:p>
    <w:p w14:paraId="572D766F" w14:textId="77777777" w:rsidR="00F94089" w:rsidRPr="00F94089" w:rsidRDefault="00F94089" w:rsidP="00A719A8">
      <w:pPr>
        <w:jc w:val="both"/>
      </w:pPr>
    </w:p>
    <w:p w14:paraId="33414D2D" w14:textId="528BF695" w:rsidR="004247FB" w:rsidRDefault="004247FB" w:rsidP="00C3783E">
      <w:pPr>
        <w:pStyle w:val="Heading3"/>
      </w:pPr>
      <w:bookmarkStart w:id="13" w:name="_Toc1038541"/>
      <w:r w:rsidRPr="00BB79AD">
        <w:t>Follow-up to the 10-year review</w:t>
      </w:r>
      <w:bookmarkEnd w:id="13"/>
    </w:p>
    <w:p w14:paraId="0EEDB005" w14:textId="23E20CC1" w:rsidR="0017060A" w:rsidRDefault="003524D8" w:rsidP="00A719A8">
      <w:pPr>
        <w:jc w:val="both"/>
      </w:pPr>
      <w:r>
        <w:t xml:space="preserve">The </w:t>
      </w:r>
      <w:r w:rsidR="0017060A">
        <w:t>GFMD was created over a decade ago to facilitate dialogue</w:t>
      </w:r>
      <w:r w:rsidR="00AE46B9">
        <w:t xml:space="preserve"> and</w:t>
      </w:r>
      <w:r w:rsidR="0017060A">
        <w:t xml:space="preserve"> trust-building among States and advance policy ideas and solutions for linking migration and development. It has helped include migration in the 2030 Agenda for Sustainable Development and informed the formulation of the GCM. It has also made governments more comfortable with including stakeholders</w:t>
      </w:r>
      <w:r>
        <w:t xml:space="preserve"> like</w:t>
      </w:r>
      <w:r w:rsidR="0017060A">
        <w:t xml:space="preserve"> CSOs and business in their migration policy discussions. </w:t>
      </w:r>
      <w:r>
        <w:t xml:space="preserve">In 2018, the Moroccan Chair commissioned a review of the GFMD to assess its achievements and </w:t>
      </w:r>
      <w:r w:rsidR="0017060A">
        <w:t>survey GFMD stakeholders</w:t>
      </w:r>
      <w:r>
        <w:t xml:space="preserve"> on future directions. The review produced a number of recommendations that w</w:t>
      </w:r>
      <w:r w:rsidR="00AE46B9">
        <w:t xml:space="preserve">ere first </w:t>
      </w:r>
      <w:r>
        <w:t xml:space="preserve">presented </w:t>
      </w:r>
      <w:r w:rsidR="00AE46B9">
        <w:t xml:space="preserve">at the Future of the Forum session in Marrakesh. The Chair plans to hold more in-depth </w:t>
      </w:r>
      <w:r>
        <w:t>discussion</w:t>
      </w:r>
      <w:r w:rsidR="002F10C7">
        <w:t>s</w:t>
      </w:r>
      <w:r>
        <w:t xml:space="preserve"> </w:t>
      </w:r>
      <w:r w:rsidR="00AE46B9">
        <w:t xml:space="preserve">on the review findings and recommendations </w:t>
      </w:r>
      <w:r>
        <w:t xml:space="preserve">with GFMD </w:t>
      </w:r>
      <w:r w:rsidR="00AE46B9">
        <w:t xml:space="preserve">participating States and other </w:t>
      </w:r>
      <w:r>
        <w:t xml:space="preserve">stakeholders </w:t>
      </w:r>
      <w:r w:rsidR="002F10C7">
        <w:t>throughout the year</w:t>
      </w:r>
      <w:r>
        <w:t xml:space="preserve">. </w:t>
      </w:r>
      <w:r w:rsidR="002F10C7">
        <w:t xml:space="preserve">For this purpose, </w:t>
      </w:r>
      <w:r w:rsidR="002F10C7" w:rsidRPr="002F10C7">
        <w:t xml:space="preserve">Ecuador proposes to address </w:t>
      </w:r>
      <w:r w:rsidR="00F24183">
        <w:t xml:space="preserve">clusters of </w:t>
      </w:r>
      <w:r w:rsidR="002F10C7" w:rsidRPr="002F10C7">
        <w:t xml:space="preserve">the report´s recommendations during </w:t>
      </w:r>
      <w:r w:rsidR="00F24183">
        <w:t>the</w:t>
      </w:r>
      <w:r w:rsidR="002F10C7" w:rsidRPr="002F10C7">
        <w:t xml:space="preserve"> three envisaged </w:t>
      </w:r>
      <w:r w:rsidR="00F24183">
        <w:t xml:space="preserve">GFMD </w:t>
      </w:r>
      <w:r w:rsidR="002F10C7" w:rsidRPr="002F10C7">
        <w:t xml:space="preserve">preparatory meetings in Geneva in February, May and September 2019 </w:t>
      </w:r>
      <w:r w:rsidR="00F24183">
        <w:t>as</w:t>
      </w:r>
      <w:r w:rsidR="002F10C7" w:rsidRPr="002F10C7">
        <w:t xml:space="preserve"> follow</w:t>
      </w:r>
      <w:r w:rsidR="00F24183">
        <w:t xml:space="preserve">s: </w:t>
      </w:r>
      <w:r w:rsidR="002F10C7">
        <w:t xml:space="preserve"> </w:t>
      </w:r>
      <w:r w:rsidR="00D34247">
        <w:t>February:</w:t>
      </w:r>
      <w:r w:rsidR="002F10C7">
        <w:t xml:space="preserve"> </w:t>
      </w:r>
      <w:r w:rsidR="00852C3D">
        <w:t xml:space="preserve">review of the </w:t>
      </w:r>
      <w:r w:rsidR="002F10C7">
        <w:t xml:space="preserve">3-P vision (policy, partnerships, peer-review); </w:t>
      </w:r>
      <w:r w:rsidR="00D34247">
        <w:t xml:space="preserve">May: </w:t>
      </w:r>
      <w:r w:rsidR="002F10C7">
        <w:t xml:space="preserve"> </w:t>
      </w:r>
      <w:r w:rsidR="00852C3D">
        <w:t xml:space="preserve">review of GFMD´s financial basis; </w:t>
      </w:r>
      <w:r w:rsidR="00D34247">
        <w:t xml:space="preserve">September: </w:t>
      </w:r>
      <w:r w:rsidR="00852C3D">
        <w:t xml:space="preserve">review of operational recommendations to improve GFMD´s overall “user experience”. </w:t>
      </w:r>
      <w:r w:rsidR="00852C3D" w:rsidRPr="00852C3D">
        <w:t xml:space="preserve">To steer the discussions and ensure action-oriented proposals with concrete timelines on how to implement the recommendations, the Chair will prepare three discussion notes elaborating on each recommendation cluster in more depth. This way the GFMD </w:t>
      </w:r>
      <w:r w:rsidR="00852C3D">
        <w:t>participating states</w:t>
      </w:r>
      <w:r w:rsidR="00852C3D" w:rsidRPr="00852C3D">
        <w:t xml:space="preserve"> can acquire a better understanding of the added-value, recommendations and proposed actions, and prepare their inputs </w:t>
      </w:r>
      <w:r w:rsidR="00D34247">
        <w:t>accordingly</w:t>
      </w:r>
      <w:r w:rsidR="00852C3D" w:rsidRPr="00852C3D">
        <w:t>.</w:t>
      </w:r>
      <w:r w:rsidR="00D34247">
        <w:t xml:space="preserve"> The Chair may invite members of the expert team that undertook the review in 2018 to support the discussion and potential follow-up steps.</w:t>
      </w:r>
      <w:r w:rsidR="00964AD6">
        <w:t xml:space="preserve"> The GFMD Working Group on Sustainable Development and International Migration</w:t>
      </w:r>
      <w:r w:rsidR="009C2390">
        <w:t xml:space="preserve"> </w:t>
      </w:r>
      <w:r w:rsidR="00964AD6">
        <w:t xml:space="preserve">will meet in between the preparatory meetings to contribute to the Chair´s ambition in this regard by formulating concrete actions to implement the recommendations of the 10-year review. For this purpose, the Working Group </w:t>
      </w:r>
      <w:r w:rsidR="00D45F13">
        <w:t>may</w:t>
      </w:r>
      <w:r w:rsidR="00964AD6">
        <w:t xml:space="preserve"> invite </w:t>
      </w:r>
      <w:r w:rsidR="00D45F13">
        <w:t>further</w:t>
      </w:r>
      <w:r w:rsidR="00964AD6">
        <w:t xml:space="preserve"> Steering Group members</w:t>
      </w:r>
      <w:r w:rsidR="009C2390">
        <w:t xml:space="preserve"> as well as</w:t>
      </w:r>
      <w:r w:rsidR="00D45F13">
        <w:t xml:space="preserve"> thematic experts</w:t>
      </w:r>
      <w:r w:rsidR="009C2390">
        <w:t xml:space="preserve"> from </w:t>
      </w:r>
      <w:r w:rsidR="00D45F13">
        <w:t>International Organizations</w:t>
      </w:r>
      <w:r w:rsidR="009C2390">
        <w:t>, civil society, private sector</w:t>
      </w:r>
      <w:r w:rsidR="00D45F13">
        <w:t xml:space="preserve"> and the academia. </w:t>
      </w:r>
    </w:p>
    <w:p w14:paraId="2F3FC1D8" w14:textId="3BFC4E44" w:rsidR="00CA1169" w:rsidRDefault="003524D8" w:rsidP="00A719A8">
      <w:pPr>
        <w:jc w:val="both"/>
      </w:pPr>
      <w:r>
        <w:t xml:space="preserve">One impetus for reviewing the role and relevance of the GFMD </w:t>
      </w:r>
      <w:r w:rsidR="00AE46B9">
        <w:t>i</w:t>
      </w:r>
      <w:r>
        <w:t>s the shifting global environment: with the adoption of the SDGs</w:t>
      </w:r>
      <w:r w:rsidR="0013356B">
        <w:t>, the NYD</w:t>
      </w:r>
      <w:r>
        <w:t xml:space="preserve"> and the GCM, migration </w:t>
      </w:r>
      <w:r w:rsidR="0013356B">
        <w:t>is now firmly</w:t>
      </w:r>
      <w:r w:rsidR="00554ABC">
        <w:t xml:space="preserve"> o</w:t>
      </w:r>
      <w:r w:rsidR="00CD7164">
        <w:t>n</w:t>
      </w:r>
      <w:r w:rsidR="0013356B">
        <w:t xml:space="preserve"> the </w:t>
      </w:r>
      <w:r w:rsidR="00CD7164">
        <w:t xml:space="preserve">UN </w:t>
      </w:r>
      <w:r w:rsidR="00554ABC">
        <w:t>agenda</w:t>
      </w:r>
      <w:r w:rsidR="0013356B">
        <w:t xml:space="preserve">; the IOM </w:t>
      </w:r>
      <w:r w:rsidR="0013356B">
        <w:lastRenderedPageBreak/>
        <w:t>has joined the UN system; and m</w:t>
      </w:r>
      <w:r>
        <w:t xml:space="preserve">ore </w:t>
      </w:r>
      <w:r w:rsidR="0013356B">
        <w:t>actors have crowded into the migration field.</w:t>
      </w:r>
      <w:r w:rsidR="001620C2">
        <w:t xml:space="preserve"> </w:t>
      </w:r>
      <w:r w:rsidR="00CD7164">
        <w:t xml:space="preserve">As </w:t>
      </w:r>
      <w:r w:rsidR="00467DF4">
        <w:t xml:space="preserve">UN Member </w:t>
      </w:r>
      <w:r w:rsidR="001620C2">
        <w:t>States ha</w:t>
      </w:r>
      <w:r w:rsidR="00CD7164">
        <w:t>ve</w:t>
      </w:r>
      <w:r w:rsidR="001620C2">
        <w:t xml:space="preserve"> committed </w:t>
      </w:r>
      <w:r w:rsidR="00CD7164">
        <w:t>to</w:t>
      </w:r>
      <w:r w:rsidR="001620C2">
        <w:t xml:space="preserve"> </w:t>
      </w:r>
      <w:r w:rsidR="00467DF4">
        <w:t xml:space="preserve">global goals and </w:t>
      </w:r>
      <w:r w:rsidR="001620C2">
        <w:t>targets</w:t>
      </w:r>
      <w:r w:rsidR="00467DF4">
        <w:t xml:space="preserve"> </w:t>
      </w:r>
      <w:r w:rsidR="00CD7164">
        <w:t>on</w:t>
      </w:r>
      <w:r w:rsidR="00467DF4">
        <w:t xml:space="preserve"> migration</w:t>
      </w:r>
      <w:r w:rsidR="00CD7164">
        <w:t xml:space="preserve">, </w:t>
      </w:r>
      <w:r w:rsidR="00467DF4">
        <w:t xml:space="preserve">the </w:t>
      </w:r>
      <w:r w:rsidR="001620C2">
        <w:t xml:space="preserve">GFMD </w:t>
      </w:r>
      <w:r w:rsidR="00CD7164">
        <w:t xml:space="preserve">has been invited to inform review processes in the context of the HLPF and the </w:t>
      </w:r>
      <w:r w:rsidR="00467DF4">
        <w:t>GCM</w:t>
      </w:r>
      <w:r w:rsidR="00CA1169">
        <w:t>,</w:t>
      </w:r>
      <w:r w:rsidR="00CD7164">
        <w:t xml:space="preserve"> given its established role in facilitating the sharing of good practices and innovative approaches and providing a venue for </w:t>
      </w:r>
      <w:r w:rsidR="001620C2">
        <w:t>match-making among partners</w:t>
      </w:r>
      <w:r w:rsidR="00CD7164">
        <w:t xml:space="preserve">. </w:t>
      </w:r>
      <w:r w:rsidR="001620C2">
        <w:t xml:space="preserve"> </w:t>
      </w:r>
    </w:p>
    <w:p w14:paraId="1264193D" w14:textId="70EC2452" w:rsidR="003524D8" w:rsidRDefault="00852C3D" w:rsidP="00A719A8">
      <w:pPr>
        <w:jc w:val="both"/>
      </w:pPr>
      <w:r>
        <w:t>Another</w:t>
      </w:r>
      <w:r w:rsidR="00CA1169">
        <w:t xml:space="preserve"> driver for taking stock and reviewing the GFMD have been </w:t>
      </w:r>
      <w:r w:rsidR="0013649F">
        <w:t xml:space="preserve">the </w:t>
      </w:r>
      <w:r w:rsidR="00CA1169">
        <w:t>recurring questions regarding the ownership and sustainability of the Forum</w:t>
      </w:r>
      <w:r w:rsidR="00E01FAC">
        <w:t xml:space="preserve">, as securing a succession of Chairs, </w:t>
      </w:r>
      <w:r w:rsidR="004247FB">
        <w:t xml:space="preserve">rotation on the GFMD Steering Group, </w:t>
      </w:r>
      <w:r w:rsidR="00E01FAC">
        <w:t xml:space="preserve">and continuity in terms of </w:t>
      </w:r>
      <w:r w:rsidR="004247FB">
        <w:t xml:space="preserve">work planning </w:t>
      </w:r>
      <w:r w:rsidR="00E01FAC">
        <w:t>and financi</w:t>
      </w:r>
      <w:r w:rsidR="004247FB">
        <w:t>ng</w:t>
      </w:r>
      <w:r w:rsidR="00E01FAC">
        <w:t xml:space="preserve"> ha</w:t>
      </w:r>
      <w:r w:rsidR="004247FB">
        <w:t>ve</w:t>
      </w:r>
      <w:r w:rsidR="00E01FAC">
        <w:t xml:space="preserve"> proved challenging</w:t>
      </w:r>
      <w:r w:rsidR="00CA1169">
        <w:t xml:space="preserve">. </w:t>
      </w:r>
    </w:p>
    <w:p w14:paraId="5B5F63D4" w14:textId="17DCB0DB" w:rsidR="00CD59F5" w:rsidRDefault="004247FB" w:rsidP="00A719A8">
      <w:pPr>
        <w:jc w:val="both"/>
      </w:pPr>
      <w:r>
        <w:t xml:space="preserve">Among areas for follow-up in the short term, the Chair sees scope </w:t>
      </w:r>
      <w:r w:rsidR="00911A9D">
        <w:t xml:space="preserve">to explore and introduce new formats of engagement </w:t>
      </w:r>
      <w:r w:rsidR="00BB79AD">
        <w:t>prior to, and during, the GFMD Summit</w:t>
      </w:r>
      <w:r w:rsidR="00F67476">
        <w:t xml:space="preserve"> in 2019</w:t>
      </w:r>
      <w:r w:rsidR="00EC2B9B">
        <w:t xml:space="preserve">, </w:t>
      </w:r>
      <w:r w:rsidR="000A208B">
        <w:t xml:space="preserve">with a view to </w:t>
      </w:r>
      <w:r w:rsidR="00911A9D">
        <w:t>facilitat</w:t>
      </w:r>
      <w:r w:rsidR="000A208B">
        <w:t>ing</w:t>
      </w:r>
      <w:r w:rsidR="00911A9D">
        <w:t xml:space="preserve"> </w:t>
      </w:r>
      <w:r w:rsidR="00ED14B7">
        <w:t xml:space="preserve">innovative, </w:t>
      </w:r>
      <w:r w:rsidR="00911A9D">
        <w:t>interactive, problem-</w:t>
      </w:r>
      <w:r w:rsidR="000A208B">
        <w:t>driven</w:t>
      </w:r>
      <w:r w:rsidR="00911A9D">
        <w:t xml:space="preserve"> dialogue</w:t>
      </w:r>
      <w:r w:rsidR="000A208B">
        <w:t>,</w:t>
      </w:r>
      <w:r w:rsidR="00F67476">
        <w:t xml:space="preserve"> </w:t>
      </w:r>
      <w:r w:rsidR="000A208B">
        <w:t xml:space="preserve">hands-on learning, and match-making among potential partners. </w:t>
      </w:r>
      <w:r w:rsidR="00CD59F5">
        <w:t xml:space="preserve">Thus, the GFMD will re-introduce the format of the Marketplace this year, which is to facilitate </w:t>
      </w:r>
      <w:r w:rsidR="004A7054">
        <w:t>the formation of partnerships</w:t>
      </w:r>
      <w:r w:rsidR="00CD59F5">
        <w:t xml:space="preserve"> for concrete cooperation projects.</w:t>
      </w:r>
      <w:r w:rsidR="004A7054" w:rsidRPr="004A7054">
        <w:t xml:space="preserve"> </w:t>
      </w:r>
      <w:r w:rsidR="004A7054">
        <w:t>The envisioned reorganization of the GFMD’s work around the three streams of “policy, partnerships and peer-review”, as proposed in the 10-year review report, could also be trialed this year.</w:t>
      </w:r>
    </w:p>
    <w:p w14:paraId="018B51C0" w14:textId="43E966DA" w:rsidR="00AA043F" w:rsidRDefault="004247FB" w:rsidP="00A719A8">
      <w:pPr>
        <w:jc w:val="both"/>
      </w:pPr>
      <w:r w:rsidRPr="006F15C9">
        <w:t xml:space="preserve">The </w:t>
      </w:r>
      <w:r w:rsidR="006F15C9">
        <w:t xml:space="preserve">Chair is working with the GFMD Support Unit to diversify the agenda </w:t>
      </w:r>
      <w:r w:rsidRPr="006F15C9">
        <w:t xml:space="preserve">of the Steering Group and Friends of the Forum </w:t>
      </w:r>
      <w:r w:rsidR="006F15C9">
        <w:t>meetings to make both distinct and engaging venues</w:t>
      </w:r>
      <w:r w:rsidR="00364AA4" w:rsidRPr="006F15C9">
        <w:t>.</w:t>
      </w:r>
      <w:r w:rsidR="006F15C9">
        <w:t xml:space="preserve"> </w:t>
      </w:r>
      <w:r w:rsidR="000A208B" w:rsidRPr="006F15C9">
        <w:t>The review</w:t>
      </w:r>
      <w:r w:rsidR="00C74AE2" w:rsidRPr="006F15C9">
        <w:t xml:space="preserve"> of </w:t>
      </w:r>
      <w:r w:rsidR="000A208B" w:rsidRPr="006F15C9">
        <w:t xml:space="preserve">the </w:t>
      </w:r>
      <w:r w:rsidR="00C74AE2" w:rsidRPr="006F15C9">
        <w:t>Terms of Reference of the GFMD Support Unit</w:t>
      </w:r>
      <w:r w:rsidR="006F15C9">
        <w:t xml:space="preserve"> will continue</w:t>
      </w:r>
      <w:r w:rsidR="00C74AE2" w:rsidRPr="006F15C9">
        <w:t xml:space="preserve"> with a view to reflecting the </w:t>
      </w:r>
      <w:r w:rsidR="006F15C9">
        <w:t xml:space="preserve">full </w:t>
      </w:r>
      <w:r w:rsidR="00C74AE2" w:rsidRPr="006F15C9">
        <w:t>scope of its responsibilities</w:t>
      </w:r>
      <w:r w:rsidRPr="006F15C9">
        <w:t xml:space="preserve"> and securing adequate operational support from </w:t>
      </w:r>
      <w:r w:rsidR="00C74AE2" w:rsidRPr="006F15C9">
        <w:t xml:space="preserve">IOM </w:t>
      </w:r>
      <w:r w:rsidRPr="006F15C9">
        <w:t>as its hosting organization.</w:t>
      </w:r>
      <w:r w:rsidR="000A208B">
        <w:t xml:space="preserve"> </w:t>
      </w:r>
      <w:r w:rsidR="00CA422B">
        <w:t xml:space="preserve">The Chair also plans to initiate a review of the GFMD Multi-Annual Financing Framework, which has been due since 2017, to serve as a basis for more in-depth discussion of the financial future and sustainability of the GFMD.  </w:t>
      </w:r>
    </w:p>
    <w:p w14:paraId="6323BD80" w14:textId="79BF081C" w:rsidR="00F04DF2" w:rsidRDefault="001C5F35" w:rsidP="00A719A8">
      <w:pPr>
        <w:jc w:val="both"/>
      </w:pPr>
      <w:r>
        <w:t>A</w:t>
      </w:r>
      <w:r w:rsidR="00ED14B7">
        <w:t>n important</w:t>
      </w:r>
      <w:r>
        <w:t xml:space="preserve"> aspect of reviewing the future role and functions of the GFMD will be to consider the r</w:t>
      </w:r>
      <w:r w:rsidR="00F567D6">
        <w:t xml:space="preserve">elationship </w:t>
      </w:r>
      <w:r>
        <w:t xml:space="preserve">between States and other GFMD </w:t>
      </w:r>
      <w:r w:rsidR="00F567D6">
        <w:t>stakeholders</w:t>
      </w:r>
      <w:r w:rsidR="004A7054">
        <w:t>, including civil society and business, for instance when it comes to setting the agenda for and designing the format of spaces for multi-stakeholder interaction within the GFMD, such as the Common Space and Marketplace</w:t>
      </w:r>
      <w:r>
        <w:t>.</w:t>
      </w:r>
      <w:r w:rsidR="00B377A9">
        <w:t xml:space="preserve"> </w:t>
      </w:r>
      <w:r w:rsidR="004A7054">
        <w:t xml:space="preserve">More such formats, dedicated to concrete problem-solving could be envisaged. </w:t>
      </w:r>
      <w:r w:rsidR="00F04DF2">
        <w:t xml:space="preserve">In addition, more stakeholders may be invited to contribute to the GFMD. </w:t>
      </w:r>
    </w:p>
    <w:p w14:paraId="5F77F2A7" w14:textId="30A713C8" w:rsidR="006141DF" w:rsidRDefault="004A7054" w:rsidP="00A719A8">
      <w:pPr>
        <w:jc w:val="both"/>
      </w:pPr>
      <w:r>
        <w:t>I</w:t>
      </w:r>
      <w:r w:rsidR="00B377A9">
        <w:t xml:space="preserve">n 2018, the GFMD </w:t>
      </w:r>
      <w:r>
        <w:t xml:space="preserve">for the first time engaged with youth </w:t>
      </w:r>
      <w:r w:rsidR="00F04DF2">
        <w:t xml:space="preserve">through a dedicated thematic meeting realized with the support of UNICEF. It also </w:t>
      </w:r>
      <w:r w:rsidR="00B377A9">
        <w:t xml:space="preserve">agreed to establish a </w:t>
      </w:r>
      <w:r w:rsidR="00B6629F">
        <w:t>more permanent relationship with the annual Mayoral Forum</w:t>
      </w:r>
      <w:r w:rsidR="00CA422B">
        <w:t xml:space="preserve"> on Human Mobility, Migration and Development </w:t>
      </w:r>
      <w:r w:rsidR="00B6629F">
        <w:t xml:space="preserve">by establishing a </w:t>
      </w:r>
      <w:r w:rsidR="00B377A9">
        <w:t xml:space="preserve">Mayors Mechanism </w:t>
      </w:r>
      <w:r w:rsidR="00364AA4">
        <w:t xml:space="preserve">(MM) </w:t>
      </w:r>
      <w:r w:rsidR="00B6629F">
        <w:t>for the GFMD</w:t>
      </w:r>
      <w:r w:rsidR="00364AA4">
        <w:t xml:space="preserve">. The MM is </w:t>
      </w:r>
      <w:r w:rsidR="00743313">
        <w:t xml:space="preserve">to </w:t>
      </w:r>
      <w:r w:rsidR="00B377A9">
        <w:t xml:space="preserve">incorporate the perspectives and lessons </w:t>
      </w:r>
      <w:r w:rsidR="00364AA4">
        <w:t xml:space="preserve">of regional and local authorities </w:t>
      </w:r>
      <w:r w:rsidR="00B377A9">
        <w:t xml:space="preserve">into the </w:t>
      </w:r>
      <w:r w:rsidR="00364AA4">
        <w:t>GFMD</w:t>
      </w:r>
      <w:r w:rsidR="00B377A9">
        <w:t xml:space="preserve">’s </w:t>
      </w:r>
      <w:r w:rsidR="00364AA4">
        <w:t>deliberations</w:t>
      </w:r>
      <w:r w:rsidR="00B377A9">
        <w:t xml:space="preserve">. </w:t>
      </w:r>
      <w:r w:rsidR="00743313">
        <w:t xml:space="preserve">2019 </w:t>
      </w:r>
      <w:r w:rsidR="00B377A9">
        <w:t xml:space="preserve">will be </w:t>
      </w:r>
      <w:r w:rsidR="00364AA4">
        <w:t xml:space="preserve">the year </w:t>
      </w:r>
      <w:r w:rsidR="00B377A9">
        <w:t>to make this new mechanism fully operational and a value addition to the GFMD</w:t>
      </w:r>
      <w:r w:rsidR="00364AA4">
        <w:t>’s thematic priorities</w:t>
      </w:r>
      <w:r w:rsidR="00B377A9">
        <w:t xml:space="preserve">. </w:t>
      </w:r>
      <w:r w:rsidR="00B6629F">
        <w:t xml:space="preserve">The Chair will work with the </w:t>
      </w:r>
      <w:r w:rsidR="00CA422B">
        <w:t>MM partners – the Mayors Migration Council, IOM and</w:t>
      </w:r>
      <w:r w:rsidR="000A6B90">
        <w:t xml:space="preserve"> United Cities and Local Government (</w:t>
      </w:r>
      <w:r w:rsidR="00CA422B">
        <w:t>UCLG</w:t>
      </w:r>
      <w:r w:rsidR="000A6B90">
        <w:t>)</w:t>
      </w:r>
      <w:r w:rsidR="00CA422B">
        <w:t xml:space="preserve"> – in overseeing this new development</w:t>
      </w:r>
      <w:r w:rsidR="00B6629F">
        <w:t>.</w:t>
      </w:r>
    </w:p>
    <w:p w14:paraId="469018CB" w14:textId="016DD7DB" w:rsidR="00CA422B" w:rsidRDefault="00CA422B" w:rsidP="00A719A8">
      <w:pPr>
        <w:jc w:val="both"/>
      </w:pPr>
      <w:r>
        <w:t xml:space="preserve">The Chair plans to strengthen </w:t>
      </w:r>
      <w:r w:rsidR="001967FD">
        <w:t xml:space="preserve">the </w:t>
      </w:r>
      <w:r>
        <w:t xml:space="preserve">participation of policy-oriented researchers in the GFMD discussions to </w:t>
      </w:r>
      <w:r w:rsidR="009B6850">
        <w:t xml:space="preserve">support evidence-based deliberations and, ideally, an ongoing dialogue and feedback loop between those who study the field of migration and development and those who seek to act and influence the actions of others through public policy. </w:t>
      </w:r>
    </w:p>
    <w:p w14:paraId="36D0441F" w14:textId="6B18E220" w:rsidR="00364AA4" w:rsidRDefault="00743313" w:rsidP="00A719A8">
      <w:pPr>
        <w:jc w:val="both"/>
      </w:pPr>
      <w:r>
        <w:t>T</w:t>
      </w:r>
      <w:r w:rsidR="00B377A9">
        <w:t>he GFMD will</w:t>
      </w:r>
      <w:r>
        <w:t xml:space="preserve"> </w:t>
      </w:r>
      <w:r w:rsidR="00B377A9">
        <w:t xml:space="preserve">need to redefine its link with the UN system, as the post of </w:t>
      </w:r>
      <w:r w:rsidR="00364AA4">
        <w:t xml:space="preserve">the </w:t>
      </w:r>
      <w:r w:rsidR="00B377A9">
        <w:t>S</w:t>
      </w:r>
      <w:r w:rsidR="00364AA4">
        <w:t xml:space="preserve">pecial </w:t>
      </w:r>
      <w:r w:rsidR="00B377A9">
        <w:t>R</w:t>
      </w:r>
      <w:r w:rsidR="00364AA4">
        <w:t xml:space="preserve">epresentative of the </w:t>
      </w:r>
      <w:r w:rsidR="00B377A9">
        <w:t>S</w:t>
      </w:r>
      <w:r w:rsidR="00364AA4">
        <w:t>ecretary-</w:t>
      </w:r>
      <w:r w:rsidR="00B377A9">
        <w:t>G</w:t>
      </w:r>
      <w:r w:rsidR="00364AA4">
        <w:t>eneral for International Migration</w:t>
      </w:r>
      <w:r w:rsidR="00B377A9">
        <w:t xml:space="preserve"> has been abolished and the new </w:t>
      </w:r>
      <w:r w:rsidR="0017060A">
        <w:t>UN Migration Network</w:t>
      </w:r>
      <w:r w:rsidR="00B377A9">
        <w:t xml:space="preserve"> is be</w:t>
      </w:r>
      <w:r w:rsidR="00B6629F">
        <w:t>ing established</w:t>
      </w:r>
      <w:r w:rsidR="00B377A9">
        <w:t>.</w:t>
      </w:r>
      <w:r w:rsidR="00B6629F">
        <w:t xml:space="preserve"> </w:t>
      </w:r>
      <w:r>
        <w:t xml:space="preserve">The Chair </w:t>
      </w:r>
      <w:r w:rsidR="00364AA4">
        <w:t xml:space="preserve">plans to </w:t>
      </w:r>
      <w:r>
        <w:t xml:space="preserve">liaise with the </w:t>
      </w:r>
      <w:r w:rsidR="00364AA4">
        <w:t xml:space="preserve">Director-General of </w:t>
      </w:r>
      <w:r>
        <w:t xml:space="preserve">IOM, as </w:t>
      </w:r>
      <w:r w:rsidR="00364AA4">
        <w:t xml:space="preserve">the </w:t>
      </w:r>
      <w:r>
        <w:t xml:space="preserve">coordinator of the network, to establish clear terms of engagement </w:t>
      </w:r>
      <w:r w:rsidR="00364AA4">
        <w:t xml:space="preserve">between the GFMD and the UN </w:t>
      </w:r>
      <w:r w:rsidR="00364AA4">
        <w:lastRenderedPageBreak/>
        <w:t>Migration Network</w:t>
      </w:r>
      <w:r w:rsidR="006F15C9">
        <w:t>. Among other</w:t>
      </w:r>
      <w:r w:rsidR="0013649F">
        <w:t>s</w:t>
      </w:r>
      <w:r w:rsidR="006F15C9">
        <w:t xml:space="preserve">, these should serve to </w:t>
      </w:r>
      <w:r>
        <w:t>facilitate cooperation between the GFMD Support Unit and the Secretariat of the UN Migration Network</w:t>
      </w:r>
      <w:r w:rsidR="006F15C9">
        <w:t xml:space="preserve"> in the context of overhauling the GFMD Platform for Partnership and </w:t>
      </w:r>
      <w:r w:rsidR="001967FD">
        <w:t>establishing</w:t>
      </w:r>
      <w:r w:rsidR="006F15C9">
        <w:t xml:space="preserve"> the global knowledge platform of the GCM Capacity Building Mechanism. </w:t>
      </w:r>
    </w:p>
    <w:p w14:paraId="4D398A2C" w14:textId="6049E3EE" w:rsidR="00F567D6" w:rsidRDefault="00B377A9" w:rsidP="00A719A8">
      <w:pPr>
        <w:jc w:val="both"/>
      </w:pPr>
      <w:r>
        <w:t xml:space="preserve"> </w:t>
      </w:r>
    </w:p>
    <w:p w14:paraId="3D446C59" w14:textId="60407DE1" w:rsidR="00743313" w:rsidRPr="00743313" w:rsidRDefault="00743313" w:rsidP="00C3783E">
      <w:pPr>
        <w:pStyle w:val="Heading3"/>
      </w:pPr>
      <w:bookmarkStart w:id="14" w:name="_Toc1038542"/>
      <w:r w:rsidRPr="00743313">
        <w:t>Supporting implementation &amp; follow-up of international commitments</w:t>
      </w:r>
      <w:bookmarkEnd w:id="14"/>
      <w:r w:rsidRPr="00743313">
        <w:t xml:space="preserve">  </w:t>
      </w:r>
    </w:p>
    <w:p w14:paraId="5399D219" w14:textId="5D1F45B7" w:rsidR="00507CA1" w:rsidRDefault="009B6850" w:rsidP="00A719A8">
      <w:pPr>
        <w:jc w:val="both"/>
      </w:pPr>
      <w:r>
        <w:t xml:space="preserve">The </w:t>
      </w:r>
      <w:r w:rsidR="00BC6463">
        <w:t xml:space="preserve">GFMD </w:t>
      </w:r>
      <w:r w:rsidR="00243952">
        <w:t xml:space="preserve">is primarily to inform the policy development and implementation in participating States and to facilitate </w:t>
      </w:r>
      <w:r w:rsidR="001967FD">
        <w:t xml:space="preserve">the </w:t>
      </w:r>
      <w:r w:rsidR="00243952">
        <w:t xml:space="preserve">meeting of potential partners. At the same time, it has brought together and continues to generate a significant amount of collective knowledge and experience that has informed formal multilateral discussions. As a result, the GFMD has been invited to contribute to the review processes of both the SDGs and the GCM. </w:t>
      </w:r>
      <w:r w:rsidR="0007602D">
        <w:t xml:space="preserve">The </w:t>
      </w:r>
      <w:r w:rsidR="00243952">
        <w:t xml:space="preserve">GFMD working group on </w:t>
      </w:r>
      <w:r w:rsidR="000E3ED6">
        <w:t>the 2030</w:t>
      </w:r>
      <w:r w:rsidR="009608A1">
        <w:t xml:space="preserve"> </w:t>
      </w:r>
      <w:r w:rsidR="00243952">
        <w:t>Agenda</w:t>
      </w:r>
      <w:r w:rsidR="000E3ED6">
        <w:t xml:space="preserve"> and the GCM</w:t>
      </w:r>
      <w:r w:rsidR="001967FD">
        <w:t>,</w:t>
      </w:r>
      <w:r w:rsidR="000E3ED6">
        <w:rPr>
          <w:rStyle w:val="FootnoteReference"/>
        </w:rPr>
        <w:footnoteReference w:id="1"/>
      </w:r>
      <w:r w:rsidR="00243952">
        <w:t xml:space="preserve"> co-led by the Governments of Bangladesh and Germany, </w:t>
      </w:r>
      <w:r w:rsidR="0007602D">
        <w:t xml:space="preserve">is leading the </w:t>
      </w:r>
      <w:r w:rsidR="00243952">
        <w:t xml:space="preserve">GFMD’s </w:t>
      </w:r>
      <w:r w:rsidR="0007602D">
        <w:t xml:space="preserve">preparation of its thematic </w:t>
      </w:r>
      <w:r w:rsidR="00243952">
        <w:t xml:space="preserve">input to the </w:t>
      </w:r>
      <w:r w:rsidR="0007602D">
        <w:t xml:space="preserve">2019 </w:t>
      </w:r>
      <w:r w:rsidR="00243952">
        <w:t xml:space="preserve">HLPF.  </w:t>
      </w:r>
    </w:p>
    <w:p w14:paraId="6EF06629" w14:textId="13C25287" w:rsidR="002F561A" w:rsidRDefault="00E41E7C" w:rsidP="00A719A8">
      <w:pPr>
        <w:jc w:val="both"/>
      </w:pPr>
      <w:r>
        <w:t>N</w:t>
      </w:r>
      <w:r w:rsidR="00243952">
        <w:t xml:space="preserve">egotiations on the modalities of the GCM follow-up and review process will </w:t>
      </w:r>
      <w:r w:rsidR="001967FD">
        <w:t>be</w:t>
      </w:r>
      <w:r w:rsidR="00243952">
        <w:t xml:space="preserve"> underway this spring </w:t>
      </w:r>
      <w:r>
        <w:t xml:space="preserve">at the UN </w:t>
      </w:r>
      <w:r w:rsidR="00243952">
        <w:t>in New York</w:t>
      </w:r>
      <w:r>
        <w:t>. T</w:t>
      </w:r>
      <w:r w:rsidR="00243952">
        <w:t xml:space="preserve">he </w:t>
      </w:r>
      <w:r w:rsidR="009B6850">
        <w:t xml:space="preserve">Chair </w:t>
      </w:r>
      <w:r w:rsidR="00243952">
        <w:t xml:space="preserve">will </w:t>
      </w:r>
      <w:r>
        <w:t xml:space="preserve">seek an early discussion with members of the GFMD Steering Group to achieve a common vision regarding the role of the GFMD in the formal GCM follow-up and review process and whether this would require any changes to current functioning and organization of GFMD’s work. </w:t>
      </w:r>
    </w:p>
    <w:p w14:paraId="38B88C9D" w14:textId="20E4BEBD" w:rsidR="002F561A" w:rsidRDefault="002F561A" w:rsidP="00A719A8">
      <w:pPr>
        <w:jc w:val="both"/>
      </w:pPr>
      <w:r>
        <w:t>Deciding on the GFMD’s role in relation to the follow-up and review of the GCM will have implications for the future functionality of the online GFMD Platform for Partnerships</w:t>
      </w:r>
      <w:r w:rsidR="00B42F07">
        <w:t xml:space="preserve"> (</w:t>
      </w:r>
      <w:proofErr w:type="spellStart"/>
      <w:r w:rsidR="00B42F07">
        <w:t>PfP</w:t>
      </w:r>
      <w:proofErr w:type="spellEnd"/>
      <w:r w:rsidR="00B42F07">
        <w:t>)</w:t>
      </w:r>
      <w:r>
        <w:t>, the main repository of practices on migration and development. The GFMD S</w:t>
      </w:r>
      <w:r w:rsidR="001967FD">
        <w:t>upport Unit</w:t>
      </w:r>
      <w:r>
        <w:t xml:space="preserve"> will also present to States plans for the roll-out the GFMD communications strategy</w:t>
      </w:r>
      <w:r w:rsidR="0013365B">
        <w:t xml:space="preserve"> in 2019.</w:t>
      </w:r>
    </w:p>
    <w:p w14:paraId="2779D478" w14:textId="77777777" w:rsidR="001C430A" w:rsidRDefault="001C430A" w:rsidP="00A719A8">
      <w:pPr>
        <w:jc w:val="both"/>
        <w:rPr>
          <w:b/>
        </w:rPr>
      </w:pPr>
    </w:p>
    <w:p w14:paraId="415C913F" w14:textId="2A45978A" w:rsidR="00C8076E" w:rsidRPr="00A719A8" w:rsidRDefault="00E35343" w:rsidP="00C3783E">
      <w:pPr>
        <w:pStyle w:val="Heading3"/>
      </w:pPr>
      <w:bookmarkStart w:id="15" w:name="_Toc1038543"/>
      <w:r w:rsidRPr="00A719A8">
        <w:t xml:space="preserve">Thematic and regional </w:t>
      </w:r>
      <w:r w:rsidR="00F01737" w:rsidRPr="00A719A8">
        <w:t>meetings</w:t>
      </w:r>
      <w:r w:rsidRPr="00A719A8">
        <w:t xml:space="preserve"> to address substantive and institutional priorities</w:t>
      </w:r>
      <w:bookmarkEnd w:id="15"/>
    </w:p>
    <w:p w14:paraId="4BE02DA8" w14:textId="2E207063" w:rsidR="00F01737" w:rsidRDefault="00F01737" w:rsidP="00A719A8">
      <w:pPr>
        <w:jc w:val="both"/>
      </w:pPr>
      <w:r>
        <w:t>With a view to</w:t>
      </w:r>
      <w:r w:rsidR="00E35343">
        <w:t xml:space="preserve"> substantiat</w:t>
      </w:r>
      <w:r>
        <w:t>ing</w:t>
      </w:r>
      <w:r w:rsidR="00E35343">
        <w:t xml:space="preserve"> discussions on the thematic and institutional priorities as outlined above, the Ecuadorian GFMD chair will convene thematic and regional meetings throughout the year. </w:t>
      </w:r>
      <w:r>
        <w:t xml:space="preserve">States that are interested in and willing to co-host a regional and/or thematic meeting are invited to approach Ecuador </w:t>
      </w:r>
      <w:r w:rsidR="00ED14B7" w:rsidRPr="00A719A8">
        <w:t xml:space="preserve">at </w:t>
      </w:r>
      <w:hyperlink r:id="rId12" w:history="1">
        <w:r w:rsidR="00A719A8" w:rsidRPr="00A719A8">
          <w:rPr>
            <w:rStyle w:val="Hyperlink"/>
            <w:i/>
          </w:rPr>
          <w:t>gfmd-ecuador@cancilleria.gob.ec</w:t>
        </w:r>
      </w:hyperlink>
      <w:r w:rsidR="00ED14B7" w:rsidRPr="00A719A8">
        <w:t xml:space="preserve"> </w:t>
      </w:r>
      <w:r>
        <w:t>or through the Support Unit</w:t>
      </w:r>
      <w:r w:rsidR="0013649F">
        <w:t xml:space="preserve"> (</w:t>
      </w:r>
      <w:hyperlink r:id="rId13" w:history="1">
        <w:r w:rsidR="0072359F" w:rsidRPr="0072359F">
          <w:rPr>
            <w:rStyle w:val="Hyperlink"/>
            <w:i/>
          </w:rPr>
          <w:t>support.unit@gfmd.org</w:t>
        </w:r>
      </w:hyperlink>
      <w:r w:rsidR="0013649F">
        <w:t>)</w:t>
      </w:r>
      <w:r>
        <w:t xml:space="preserve">. Proposed dates for thematic and regional meetings can be found in the preliminary calendar of activities. </w:t>
      </w:r>
    </w:p>
    <w:p w14:paraId="3F879C0C" w14:textId="0AB2F33A" w:rsidR="00F01737" w:rsidRDefault="00F01737" w:rsidP="00A719A8">
      <w:pPr>
        <w:jc w:val="both"/>
      </w:pPr>
      <w:r>
        <w:t xml:space="preserve">A first </w:t>
      </w:r>
      <w:r w:rsidRPr="00F01737">
        <w:t xml:space="preserve">Thematic Meeting on the topic of GCM implementation will be held in Geneva in the spring of 2019 under the co-leadership of the Governments of Bahrain and the Philippines. </w:t>
      </w:r>
      <w:r w:rsidR="0013649F">
        <w:t>T</w:t>
      </w:r>
      <w:r w:rsidRPr="00F01737">
        <w:t xml:space="preserve">his meeting </w:t>
      </w:r>
      <w:r w:rsidR="004C5F26">
        <w:t xml:space="preserve">offers an opportunity </w:t>
      </w:r>
      <w:r w:rsidRPr="00F01737">
        <w:t>to discuss the development of national plans and strategies for implementing GCM commitments.</w:t>
      </w:r>
    </w:p>
    <w:p w14:paraId="59EE2E2F" w14:textId="7C5FCCF0" w:rsidR="004C5F26" w:rsidRDefault="00F01737" w:rsidP="00A719A8">
      <w:pPr>
        <w:jc w:val="both"/>
      </w:pPr>
      <w:r>
        <w:t>It is Ecuador´s commitment to bring the GFMD</w:t>
      </w:r>
      <w:r w:rsidR="00E70BF5">
        <w:t xml:space="preserve"> closer</w:t>
      </w:r>
      <w:r>
        <w:t xml:space="preserve"> to the regions in order to broaden participation of different regional stakeholders and as an effort to de-centralize the process. Therefore, Ecuador particularly welcomes </w:t>
      </w:r>
      <w:r w:rsidR="0007602D">
        <w:t xml:space="preserve">self-funded </w:t>
      </w:r>
      <w:r w:rsidR="00215055">
        <w:t xml:space="preserve">proposals for regional meetings from GFMD participating states and other interested stakeholders to be held outside Geneva or New York. </w:t>
      </w:r>
    </w:p>
    <w:p w14:paraId="02460C0D" w14:textId="77777777" w:rsidR="00C3783E" w:rsidRDefault="00C3783E" w:rsidP="00A719A8">
      <w:pPr>
        <w:jc w:val="both"/>
      </w:pPr>
    </w:p>
    <w:p w14:paraId="0A996FE1" w14:textId="77777777" w:rsidR="00DE75F6" w:rsidRDefault="00DE75F6" w:rsidP="00A719A8">
      <w:pPr>
        <w:jc w:val="both"/>
      </w:pPr>
    </w:p>
    <w:p w14:paraId="749123DF" w14:textId="77777777" w:rsidR="0082500B" w:rsidRDefault="0082500B" w:rsidP="00A719A8">
      <w:pPr>
        <w:jc w:val="both"/>
      </w:pPr>
    </w:p>
    <w:p w14:paraId="6F374E24" w14:textId="2DBB2E84" w:rsidR="00F01737" w:rsidRPr="00C3783E" w:rsidRDefault="00BA1D78" w:rsidP="00A719A8">
      <w:pPr>
        <w:jc w:val="both"/>
        <w:rPr>
          <w:rFonts w:asciiTheme="majorHAnsi" w:eastAsiaTheme="majorEastAsia" w:hAnsiTheme="majorHAnsi" w:cstheme="majorBidi"/>
          <w:b/>
          <w:i/>
          <w:sz w:val="28"/>
          <w:szCs w:val="26"/>
        </w:rPr>
      </w:pPr>
      <w:bookmarkStart w:id="16" w:name="_GoBack"/>
      <w:bookmarkEnd w:id="16"/>
      <w:r w:rsidRPr="00C3783E">
        <w:rPr>
          <w:rFonts w:asciiTheme="majorHAnsi" w:eastAsiaTheme="majorEastAsia" w:hAnsiTheme="majorHAnsi" w:cstheme="majorBidi"/>
          <w:b/>
          <w:i/>
          <w:sz w:val="28"/>
          <w:szCs w:val="26"/>
        </w:rPr>
        <w:t>Conclusion</w:t>
      </w:r>
    </w:p>
    <w:p w14:paraId="1CCAA061" w14:textId="729260E6" w:rsidR="00734A19" w:rsidRDefault="00734A19" w:rsidP="00A719A8">
      <w:pPr>
        <w:jc w:val="both"/>
      </w:pPr>
      <w:r>
        <w:t>In light of</w:t>
      </w:r>
      <w:r w:rsidR="00BA1D78">
        <w:t xml:space="preserve"> the 2019 GFMD Chair´s </w:t>
      </w:r>
      <w:r w:rsidR="004C5F26">
        <w:t xml:space="preserve">overarching theme, </w:t>
      </w:r>
      <w:r w:rsidR="00BA1D78">
        <w:t>“</w:t>
      </w:r>
      <w:r w:rsidR="00BA1D78" w:rsidRPr="00BA1D78">
        <w:t>Sustainable approaches to human mobility: Upholding rights, strengthening state agency, and advancing development through partnerships and collective action</w:t>
      </w:r>
      <w:r w:rsidR="00BA1D78">
        <w:t xml:space="preserve">”, Ecuador </w:t>
      </w:r>
      <w:r>
        <w:t xml:space="preserve">seeks to offer an exchange platform, in which a broad range of stakeholders come together to identify concrete policy actions to address human mobility in a sustainable manner. As shown by the recent international efforts at the highest political level, the phenomenon of human mobility can only be addressed through multi-stakeholder partnerships and collective action. In its GFMD Chairmanship, Ecuador puts migrants and other people on the move at the very heart of the debate. In this respect, upholding rights of migrants and strengthening state agency on behalf of migrants </w:t>
      </w:r>
      <w:r w:rsidR="00E920FC">
        <w:t>represent two</w:t>
      </w:r>
      <w:r>
        <w:t xml:space="preserve"> essential ingredients. </w:t>
      </w:r>
    </w:p>
    <w:p w14:paraId="00F43F12" w14:textId="39212D47" w:rsidR="00BA1D78" w:rsidRDefault="00D5715F" w:rsidP="00A719A8">
      <w:pPr>
        <w:jc w:val="both"/>
      </w:pPr>
      <w:r>
        <w:t>In the first year after the adoption of both the Global Compact for Migration and the Global Compact on Refugees, the 2019 GFMD Chair will initiate the discussion on the implementation</w:t>
      </w:r>
      <w:r w:rsidR="00734A19">
        <w:t xml:space="preserve"> </w:t>
      </w:r>
      <w:r>
        <w:t xml:space="preserve">of the goals and identify synergies between both Compacts. With respect to the GCM, the GFMD will </w:t>
      </w:r>
      <w:r w:rsidR="004349CE">
        <w:t xml:space="preserve">provide a safe space, in which the voices of critical stakeholders can be expressed, and consensus can be forged. This year´s Forum will continue to </w:t>
      </w:r>
      <w:r w:rsidR="00E920FC">
        <w:t>deliver</w:t>
      </w:r>
      <w:r w:rsidR="004349CE">
        <w:t xml:space="preserve"> important findings at the interface of migration and development, </w:t>
      </w:r>
      <w:r w:rsidR="00AB26C6">
        <w:t xml:space="preserve">a function that will benefit from a more systematic incorporation of the academia into the Forum. </w:t>
      </w:r>
      <w:r w:rsidR="004349CE">
        <w:t>Through its thematic priorities</w:t>
      </w:r>
      <w:r w:rsidR="00AB26C6">
        <w:t xml:space="preserve"> </w:t>
      </w:r>
      <w:r w:rsidR="005A4D5F">
        <w:t>which</w:t>
      </w:r>
      <w:r w:rsidR="00AB26C6">
        <w:t xml:space="preserve"> will be addressed </w:t>
      </w:r>
      <w:r w:rsidR="00401A82">
        <w:t>through</w:t>
      </w:r>
      <w:r w:rsidR="00AB26C6">
        <w:t xml:space="preserve"> Roundtables, thematic and regional </w:t>
      </w:r>
      <w:r w:rsidR="004C5F26">
        <w:t>meetings</w:t>
      </w:r>
      <w:r w:rsidR="004349CE">
        <w:t xml:space="preserve">, the 2019 GFMD will </w:t>
      </w:r>
      <w:r w:rsidR="00AB26C6">
        <w:t xml:space="preserve">advance the policy discussions </w:t>
      </w:r>
      <w:r w:rsidR="00E920FC">
        <w:t>on</w:t>
      </w:r>
      <w:r w:rsidR="00AB26C6">
        <w:t xml:space="preserve"> migration and development</w:t>
      </w:r>
      <w:r w:rsidR="00401A82">
        <w:t xml:space="preserve"> while introducing innovative ways of working</w:t>
      </w:r>
      <w:r w:rsidR="00AB26C6">
        <w:t xml:space="preserve">. </w:t>
      </w:r>
      <w:r w:rsidR="00401A82">
        <w:t xml:space="preserve">With a view to following up on the recommendations of the 10-Year-Review commissioned by the German-Moroccan GFMD Chairmanship 2017-18, Ecuador will engage in constructive discussions with the GFMD participating states to develop concrete actions plans for implementation. </w:t>
      </w:r>
      <w:r w:rsidR="00E920FC">
        <w:t xml:space="preserve">At the end of Ecuador´s Chairmanship, the </w:t>
      </w:r>
      <w:r w:rsidR="00401A82">
        <w:t>GFMD</w:t>
      </w:r>
      <w:r w:rsidR="00E920FC">
        <w:t xml:space="preserve"> will be able to</w:t>
      </w:r>
      <w:r w:rsidR="00401A82">
        <w:t xml:space="preserve"> position itself in the new environment, without losing its core identity. </w:t>
      </w:r>
      <w:r w:rsidR="00E920FC">
        <w:t>To reach these ambitions, Ecuador is committed to closely cooperate with all GFMD stakeholders</w:t>
      </w:r>
      <w:r w:rsidR="004C5F26">
        <w:t>,</w:t>
      </w:r>
      <w:r w:rsidR="00E920FC">
        <w:t xml:space="preserve"> and equally counts on the support of GFMD participating states and all other related stakeholders. </w:t>
      </w:r>
    </w:p>
    <w:p w14:paraId="44C39FC6" w14:textId="1C3BA431" w:rsidR="00E35343" w:rsidRDefault="00C93EC5" w:rsidP="00A719A8">
      <w:pPr>
        <w:jc w:val="both"/>
      </w:pPr>
      <w:r>
        <w:t xml:space="preserve"> </w:t>
      </w:r>
    </w:p>
    <w:sectPr w:rsidR="00E35343" w:rsidSect="00597E9C">
      <w:footerReference w:type="default" r:id="rId14"/>
      <w:pgSz w:w="11907" w:h="16839" w:code="9"/>
      <w:pgMar w:top="1296" w:right="1440" w:bottom="1152" w:left="1440" w:header="144" w:footer="14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4F944" w14:textId="77777777" w:rsidR="004205D5" w:rsidRDefault="004205D5" w:rsidP="00AC52E0">
      <w:pPr>
        <w:spacing w:after="0" w:line="240" w:lineRule="auto"/>
      </w:pPr>
      <w:r>
        <w:separator/>
      </w:r>
    </w:p>
  </w:endnote>
  <w:endnote w:type="continuationSeparator" w:id="0">
    <w:p w14:paraId="341789F2" w14:textId="77777777" w:rsidR="004205D5" w:rsidRDefault="004205D5" w:rsidP="00AC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2D8DA" w14:textId="7CCAB067" w:rsidR="00A719A8" w:rsidRDefault="00A719A8">
    <w:pPr>
      <w:pStyle w:val="Footer"/>
      <w:jc w:val="center"/>
    </w:pPr>
  </w:p>
  <w:p w14:paraId="58E4DE06" w14:textId="77777777" w:rsidR="00A719A8" w:rsidRDefault="00A719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281578"/>
      <w:docPartObj>
        <w:docPartGallery w:val="Page Numbers (Bottom of Page)"/>
        <w:docPartUnique/>
      </w:docPartObj>
    </w:sdtPr>
    <w:sdtEndPr/>
    <w:sdtContent>
      <w:p w14:paraId="3B1F72C5" w14:textId="77777777" w:rsidR="00597E9C" w:rsidRDefault="00597E9C">
        <w:pPr>
          <w:pStyle w:val="Footer"/>
          <w:jc w:val="center"/>
        </w:pPr>
        <w:r>
          <w:fldChar w:fldCharType="begin"/>
        </w:r>
        <w:r>
          <w:instrText>PAGE   \* MERGEFORMAT</w:instrText>
        </w:r>
        <w:r>
          <w:fldChar w:fldCharType="separate"/>
        </w:r>
        <w:r w:rsidR="0082500B" w:rsidRPr="0082500B">
          <w:rPr>
            <w:noProof/>
            <w:lang w:val="de-DE"/>
          </w:rPr>
          <w:t>11</w:t>
        </w:r>
        <w:r>
          <w:fldChar w:fldCharType="end"/>
        </w:r>
      </w:p>
    </w:sdtContent>
  </w:sdt>
  <w:p w14:paraId="4082BCBE" w14:textId="77777777" w:rsidR="00597E9C" w:rsidRDefault="00597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1CC1C" w14:textId="77777777" w:rsidR="004205D5" w:rsidRDefault="004205D5" w:rsidP="00AC52E0">
      <w:pPr>
        <w:spacing w:after="0" w:line="240" w:lineRule="auto"/>
      </w:pPr>
      <w:r>
        <w:separator/>
      </w:r>
    </w:p>
  </w:footnote>
  <w:footnote w:type="continuationSeparator" w:id="0">
    <w:p w14:paraId="20F5339F" w14:textId="77777777" w:rsidR="004205D5" w:rsidRDefault="004205D5" w:rsidP="00AC52E0">
      <w:pPr>
        <w:spacing w:after="0" w:line="240" w:lineRule="auto"/>
      </w:pPr>
      <w:r>
        <w:continuationSeparator/>
      </w:r>
    </w:p>
  </w:footnote>
  <w:footnote w:id="1">
    <w:p w14:paraId="0798DA62" w14:textId="48D2BD62" w:rsidR="00D16DD6" w:rsidRPr="000E3ED6" w:rsidRDefault="00D16DD6">
      <w:pPr>
        <w:pStyle w:val="FootnoteText"/>
      </w:pPr>
      <w:r>
        <w:rPr>
          <w:rStyle w:val="FootnoteReference"/>
        </w:rPr>
        <w:footnoteRef/>
      </w:r>
      <w:r>
        <w:t xml:space="preserve"> Upon the decision of the WG members</w:t>
      </w:r>
      <w:r w:rsidR="005A4D5F">
        <w:t xml:space="preserve"> on 11 February 2019</w:t>
      </w:r>
      <w:r>
        <w:t>, t</w:t>
      </w:r>
      <w:r w:rsidRPr="00A719A8">
        <w:t>he Working Group has been r</w:t>
      </w:r>
      <w:r>
        <w:t>enamed as follows: Working Group on Sustainable Development and International Migration</w:t>
      </w:r>
      <w:r w:rsidR="005A4D5F">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3087"/>
    <w:multiLevelType w:val="hybridMultilevel"/>
    <w:tmpl w:val="E0F4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C5405"/>
    <w:multiLevelType w:val="hybridMultilevel"/>
    <w:tmpl w:val="2B4A2C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16559E"/>
    <w:multiLevelType w:val="hybridMultilevel"/>
    <w:tmpl w:val="53845164"/>
    <w:lvl w:ilvl="0" w:tplc="04090001">
      <w:start w:val="1"/>
      <w:numFmt w:val="bullet"/>
      <w:lvlText w:val=""/>
      <w:lvlJc w:val="left"/>
      <w:pPr>
        <w:ind w:left="720" w:hanging="360"/>
      </w:pPr>
      <w:rPr>
        <w:rFonts w:ascii="Symbol" w:hAnsi="Symbol" w:hint="default"/>
      </w:rPr>
    </w:lvl>
    <w:lvl w:ilvl="1" w:tplc="6F78DA34">
      <w:numFmt w:val="bullet"/>
      <w:lvlText w:val=""/>
      <w:lvlJc w:val="left"/>
      <w:pPr>
        <w:ind w:left="1440" w:hanging="360"/>
      </w:pPr>
      <w:rPr>
        <w:rFonts w:ascii="Wingdings" w:eastAsiaTheme="minorHAnsi" w:hAnsi="Wingdings" w:cstheme="minorBidi" w:hint="default"/>
      </w:rPr>
    </w:lvl>
    <w:lvl w:ilvl="2" w:tplc="6F78DA34">
      <w:numFmt w:val="bullet"/>
      <w:lvlText w:val=""/>
      <w:lvlJc w:val="left"/>
      <w:pPr>
        <w:ind w:left="2160" w:hanging="360"/>
      </w:pPr>
      <w:rPr>
        <w:rFonts w:ascii="Wingdings" w:eastAsiaTheme="minorHAnsi" w:hAnsi="Wingdings"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E24C3"/>
    <w:multiLevelType w:val="hybridMultilevel"/>
    <w:tmpl w:val="DC962A46"/>
    <w:lvl w:ilvl="0" w:tplc="2B3CFB22">
      <w:start w:val="1"/>
      <w:numFmt w:val="decimal"/>
      <w:lvlText w:val="(%1)"/>
      <w:lvlJc w:val="left"/>
      <w:pPr>
        <w:ind w:left="800" w:hanging="360"/>
      </w:pPr>
      <w:rPr>
        <w:rFonts w:hint="default"/>
        <w:color w:val="0563C1" w:themeColor="hyperlink"/>
        <w:u w:val="single"/>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 w15:restartNumberingAfterBreak="0">
    <w:nsid w:val="0903700A"/>
    <w:multiLevelType w:val="hybridMultilevel"/>
    <w:tmpl w:val="1C0C3B7C"/>
    <w:lvl w:ilvl="0" w:tplc="0409000B">
      <w:start w:val="1"/>
      <w:numFmt w:val="bullet"/>
      <w:lvlText w:val=""/>
      <w:lvlJc w:val="left"/>
      <w:pPr>
        <w:ind w:left="720" w:hanging="360"/>
      </w:pPr>
      <w:rPr>
        <w:rFonts w:ascii="Wingdings" w:hAnsi="Wingdings" w:hint="default"/>
      </w:rPr>
    </w:lvl>
    <w:lvl w:ilvl="1" w:tplc="6F78DA34">
      <w:numFmt w:val="bullet"/>
      <w:lvlText w:val=""/>
      <w:lvlJc w:val="left"/>
      <w:pPr>
        <w:ind w:left="1440" w:hanging="360"/>
      </w:pPr>
      <w:rPr>
        <w:rFonts w:ascii="Wingdings" w:eastAsiaTheme="minorHAnsi" w:hAnsi="Wingdings" w:cstheme="minorBidi" w:hint="default"/>
      </w:rPr>
    </w:lvl>
    <w:lvl w:ilvl="2" w:tplc="6F78DA34">
      <w:numFmt w:val="bullet"/>
      <w:lvlText w:val=""/>
      <w:lvlJc w:val="left"/>
      <w:pPr>
        <w:ind w:left="2160" w:hanging="360"/>
      </w:pPr>
      <w:rPr>
        <w:rFonts w:ascii="Wingdings" w:eastAsiaTheme="minorHAnsi" w:hAnsi="Wingdings"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1097F"/>
    <w:multiLevelType w:val="hybridMultilevel"/>
    <w:tmpl w:val="0630E1FC"/>
    <w:lvl w:ilvl="0" w:tplc="04090001">
      <w:start w:val="1"/>
      <w:numFmt w:val="bullet"/>
      <w:lvlText w:val=""/>
      <w:lvlJc w:val="left"/>
      <w:pPr>
        <w:ind w:left="720" w:hanging="360"/>
      </w:pPr>
      <w:rPr>
        <w:rFonts w:ascii="Symbol" w:hAnsi="Symbol" w:hint="default"/>
      </w:rPr>
    </w:lvl>
    <w:lvl w:ilvl="1" w:tplc="6F78DA34">
      <w:numFmt w:val="bullet"/>
      <w:lvlText w:val=""/>
      <w:lvlJc w:val="left"/>
      <w:pPr>
        <w:ind w:left="1440" w:hanging="360"/>
      </w:pPr>
      <w:rPr>
        <w:rFonts w:ascii="Wingdings" w:eastAsiaTheme="minorHAnsi" w:hAnsi="Wingdings" w:cstheme="minorBidi" w:hint="default"/>
      </w:rPr>
    </w:lvl>
    <w:lvl w:ilvl="2" w:tplc="6F78DA34">
      <w:numFmt w:val="bullet"/>
      <w:lvlText w:val=""/>
      <w:lvlJc w:val="left"/>
      <w:pPr>
        <w:ind w:left="2160" w:hanging="360"/>
      </w:pPr>
      <w:rPr>
        <w:rFonts w:ascii="Wingdings" w:eastAsiaTheme="minorHAnsi" w:hAnsi="Wingdings"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5254B"/>
    <w:multiLevelType w:val="hybridMultilevel"/>
    <w:tmpl w:val="D7800C0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0F421939"/>
    <w:multiLevelType w:val="hybridMultilevel"/>
    <w:tmpl w:val="BB74D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AD6105"/>
    <w:multiLevelType w:val="hybridMultilevel"/>
    <w:tmpl w:val="762CE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46C395B"/>
    <w:multiLevelType w:val="hybridMultilevel"/>
    <w:tmpl w:val="119017FE"/>
    <w:lvl w:ilvl="0" w:tplc="6F78DA34">
      <w:start w:val="1"/>
      <w:numFmt w:val="bullet"/>
      <w:lvlText w:val=""/>
      <w:lvlJc w:val="left"/>
      <w:pPr>
        <w:ind w:left="720" w:hanging="360"/>
      </w:pPr>
      <w:rPr>
        <w:rFonts w:ascii="Wingdings" w:eastAsiaTheme="minorHAnsi" w:hAnsi="Wingdings"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A4800"/>
    <w:multiLevelType w:val="hybridMultilevel"/>
    <w:tmpl w:val="E1AE93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C6C8C"/>
    <w:multiLevelType w:val="hybridMultilevel"/>
    <w:tmpl w:val="EABE3B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EA3703"/>
    <w:multiLevelType w:val="hybridMultilevel"/>
    <w:tmpl w:val="B0F2C1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46515D"/>
    <w:multiLevelType w:val="hybridMultilevel"/>
    <w:tmpl w:val="557CF9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668D4"/>
    <w:multiLevelType w:val="hybridMultilevel"/>
    <w:tmpl w:val="E90C066C"/>
    <w:lvl w:ilvl="0" w:tplc="695ED160">
      <w:start w:val="1"/>
      <w:numFmt w:val="decimal"/>
      <w:lvlText w:val="(%1)"/>
      <w:lvlJc w:val="left"/>
      <w:pPr>
        <w:ind w:left="800" w:hanging="360"/>
      </w:pPr>
      <w:rPr>
        <w:rFonts w:eastAsiaTheme="minorHAnsi" w:hint="default"/>
        <w:color w:val="0563C1" w:themeColor="hyperlink"/>
        <w:u w:val="single"/>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5" w15:restartNumberingAfterBreak="0">
    <w:nsid w:val="2DE86772"/>
    <w:multiLevelType w:val="hybridMultilevel"/>
    <w:tmpl w:val="AC221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553A14"/>
    <w:multiLevelType w:val="hybridMultilevel"/>
    <w:tmpl w:val="0930E69E"/>
    <w:lvl w:ilvl="0" w:tplc="04090015">
      <w:start w:val="1"/>
      <w:numFmt w:val="upperLetter"/>
      <w:lvlText w:val="%1."/>
      <w:lvlJc w:val="left"/>
      <w:pPr>
        <w:ind w:left="360" w:hanging="360"/>
      </w:pPr>
      <w:rPr>
        <w:rFonts w:hint="default"/>
      </w:rPr>
    </w:lvl>
    <w:lvl w:ilvl="1" w:tplc="6F78DA34">
      <w:numFmt w:val="bullet"/>
      <w:lvlText w:val=""/>
      <w:lvlJc w:val="left"/>
      <w:pPr>
        <w:ind w:left="1080" w:hanging="360"/>
      </w:pPr>
      <w:rPr>
        <w:rFonts w:ascii="Wingdings" w:eastAsiaTheme="minorHAnsi" w:hAnsi="Wingdings"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D20008"/>
    <w:multiLevelType w:val="hybridMultilevel"/>
    <w:tmpl w:val="F51A9D70"/>
    <w:lvl w:ilvl="0" w:tplc="2D661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6C5DEB"/>
    <w:multiLevelType w:val="hybridMultilevel"/>
    <w:tmpl w:val="81C4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3550F"/>
    <w:multiLevelType w:val="hybridMultilevel"/>
    <w:tmpl w:val="BEFA1AA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7E5282"/>
    <w:multiLevelType w:val="hybridMultilevel"/>
    <w:tmpl w:val="316C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C73AF"/>
    <w:multiLevelType w:val="hybridMultilevel"/>
    <w:tmpl w:val="F556A8B8"/>
    <w:lvl w:ilvl="0" w:tplc="8E34DFD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22429"/>
    <w:multiLevelType w:val="hybridMultilevel"/>
    <w:tmpl w:val="ED02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9F727D"/>
    <w:multiLevelType w:val="hybridMultilevel"/>
    <w:tmpl w:val="656C7990"/>
    <w:lvl w:ilvl="0" w:tplc="105C00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0F1CC7"/>
    <w:multiLevelType w:val="hybridMultilevel"/>
    <w:tmpl w:val="81D8B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8DF6117"/>
    <w:multiLevelType w:val="hybridMultilevel"/>
    <w:tmpl w:val="F538F312"/>
    <w:lvl w:ilvl="0" w:tplc="6F78DA3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305798"/>
    <w:multiLevelType w:val="hybridMultilevel"/>
    <w:tmpl w:val="5526231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BFA034F"/>
    <w:multiLevelType w:val="hybridMultilevel"/>
    <w:tmpl w:val="43824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E705B5"/>
    <w:multiLevelType w:val="hybridMultilevel"/>
    <w:tmpl w:val="45AA0A5E"/>
    <w:lvl w:ilvl="0" w:tplc="6F78DA34">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E778F3"/>
    <w:multiLevelType w:val="hybridMultilevel"/>
    <w:tmpl w:val="A99C4E0C"/>
    <w:lvl w:ilvl="0" w:tplc="0409000B">
      <w:start w:val="1"/>
      <w:numFmt w:val="bullet"/>
      <w:lvlText w:val=""/>
      <w:lvlJc w:val="left"/>
      <w:pPr>
        <w:ind w:left="720" w:hanging="360"/>
      </w:pPr>
      <w:rPr>
        <w:rFonts w:ascii="Wingdings" w:hAnsi="Wingdings" w:hint="default"/>
      </w:rPr>
    </w:lvl>
    <w:lvl w:ilvl="1" w:tplc="7AC2C1AC">
      <w:start w:val="1"/>
      <w:numFmt w:val="decimal"/>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266424"/>
    <w:multiLevelType w:val="hybridMultilevel"/>
    <w:tmpl w:val="07688D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370E0C"/>
    <w:multiLevelType w:val="hybridMultilevel"/>
    <w:tmpl w:val="4E1A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8832F1"/>
    <w:multiLevelType w:val="hybridMultilevel"/>
    <w:tmpl w:val="FF96B4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A13171"/>
    <w:multiLevelType w:val="hybridMultilevel"/>
    <w:tmpl w:val="94AC0D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91C5CAC"/>
    <w:multiLevelType w:val="hybridMultilevel"/>
    <w:tmpl w:val="505C4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9F83847"/>
    <w:multiLevelType w:val="hybridMultilevel"/>
    <w:tmpl w:val="79CC22B0"/>
    <w:lvl w:ilvl="0" w:tplc="6F78DA34">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AD14056"/>
    <w:multiLevelType w:val="hybridMultilevel"/>
    <w:tmpl w:val="0BF29E5E"/>
    <w:lvl w:ilvl="0" w:tplc="1624DCD8">
      <w:start w:val="1"/>
      <w:numFmt w:val="decimal"/>
      <w:lvlText w:val="(%1)"/>
      <w:lvlJc w:val="left"/>
      <w:pPr>
        <w:ind w:left="644" w:hanging="360"/>
      </w:pPr>
      <w:rPr>
        <w:rFonts w:eastAsiaTheme="minorHAnsi" w:hint="default"/>
        <w:color w:val="auto"/>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5C167E17"/>
    <w:multiLevelType w:val="hybridMultilevel"/>
    <w:tmpl w:val="BA90C8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D907A2"/>
    <w:multiLevelType w:val="hybridMultilevel"/>
    <w:tmpl w:val="247E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A60BBC"/>
    <w:multiLevelType w:val="hybridMultilevel"/>
    <w:tmpl w:val="08842E3A"/>
    <w:lvl w:ilvl="0" w:tplc="6F78DA34">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EF040DE"/>
    <w:multiLevelType w:val="hybridMultilevel"/>
    <w:tmpl w:val="6ECE6E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FEF04DF"/>
    <w:multiLevelType w:val="hybridMultilevel"/>
    <w:tmpl w:val="82989D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1A63B52"/>
    <w:multiLevelType w:val="hybridMultilevel"/>
    <w:tmpl w:val="0DEC6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1FB78D3"/>
    <w:multiLevelType w:val="hybridMultilevel"/>
    <w:tmpl w:val="F048C3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6F78DA34">
      <w:numFmt w:val="bullet"/>
      <w:lvlText w:val=""/>
      <w:lvlJc w:val="left"/>
      <w:pPr>
        <w:ind w:left="2160" w:hanging="360"/>
      </w:pPr>
      <w:rPr>
        <w:rFonts w:ascii="Wingdings" w:eastAsiaTheme="minorHAnsi" w:hAnsi="Wingdings"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2B356D"/>
    <w:multiLevelType w:val="hybridMultilevel"/>
    <w:tmpl w:val="B832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D17556"/>
    <w:multiLevelType w:val="hybridMultilevel"/>
    <w:tmpl w:val="8BF4AE76"/>
    <w:lvl w:ilvl="0" w:tplc="6F78DA34">
      <w:numFmt w:val="bullet"/>
      <w:lvlText w:val=""/>
      <w:lvlJc w:val="left"/>
      <w:pPr>
        <w:ind w:left="1440" w:hanging="360"/>
      </w:pPr>
      <w:rPr>
        <w:rFonts w:ascii="Wingdings" w:eastAsiaTheme="minorHAnsi" w:hAnsi="Wingdings"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7484DE7"/>
    <w:multiLevelType w:val="hybridMultilevel"/>
    <w:tmpl w:val="FD12321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EED207D"/>
    <w:multiLevelType w:val="hybridMultilevel"/>
    <w:tmpl w:val="37DA0900"/>
    <w:lvl w:ilvl="0" w:tplc="6F78DA3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F081AD2"/>
    <w:multiLevelType w:val="hybridMultilevel"/>
    <w:tmpl w:val="25C6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31"/>
  </w:num>
  <w:num w:numId="4">
    <w:abstractNumId w:val="2"/>
  </w:num>
  <w:num w:numId="5">
    <w:abstractNumId w:val="15"/>
  </w:num>
  <w:num w:numId="6">
    <w:abstractNumId w:val="0"/>
  </w:num>
  <w:num w:numId="7">
    <w:abstractNumId w:val="20"/>
  </w:num>
  <w:num w:numId="8">
    <w:abstractNumId w:val="38"/>
  </w:num>
  <w:num w:numId="9">
    <w:abstractNumId w:val="46"/>
  </w:num>
  <w:num w:numId="10">
    <w:abstractNumId w:val="1"/>
  </w:num>
  <w:num w:numId="11">
    <w:abstractNumId w:val="18"/>
  </w:num>
  <w:num w:numId="12">
    <w:abstractNumId w:val="22"/>
  </w:num>
  <w:num w:numId="13">
    <w:abstractNumId w:val="26"/>
  </w:num>
  <w:num w:numId="14">
    <w:abstractNumId w:val="12"/>
  </w:num>
  <w:num w:numId="15">
    <w:abstractNumId w:val="48"/>
  </w:num>
  <w:num w:numId="16">
    <w:abstractNumId w:val="35"/>
  </w:num>
  <w:num w:numId="17">
    <w:abstractNumId w:val="45"/>
  </w:num>
  <w:num w:numId="18">
    <w:abstractNumId w:val="28"/>
  </w:num>
  <w:num w:numId="19">
    <w:abstractNumId w:val="25"/>
  </w:num>
  <w:num w:numId="20">
    <w:abstractNumId w:val="34"/>
  </w:num>
  <w:num w:numId="21">
    <w:abstractNumId w:val="5"/>
  </w:num>
  <w:num w:numId="22">
    <w:abstractNumId w:val="10"/>
  </w:num>
  <w:num w:numId="23">
    <w:abstractNumId w:val="29"/>
  </w:num>
  <w:num w:numId="24">
    <w:abstractNumId w:val="13"/>
  </w:num>
  <w:num w:numId="25">
    <w:abstractNumId w:val="4"/>
  </w:num>
  <w:num w:numId="26">
    <w:abstractNumId w:val="43"/>
  </w:num>
  <w:num w:numId="27">
    <w:abstractNumId w:val="32"/>
  </w:num>
  <w:num w:numId="28">
    <w:abstractNumId w:val="37"/>
  </w:num>
  <w:num w:numId="29">
    <w:abstractNumId w:val="30"/>
  </w:num>
  <w:num w:numId="30">
    <w:abstractNumId w:val="7"/>
  </w:num>
  <w:num w:numId="31">
    <w:abstractNumId w:val="16"/>
  </w:num>
  <w:num w:numId="32">
    <w:abstractNumId w:val="33"/>
  </w:num>
  <w:num w:numId="33">
    <w:abstractNumId w:val="41"/>
  </w:num>
  <w:num w:numId="34">
    <w:abstractNumId w:val="39"/>
  </w:num>
  <w:num w:numId="35">
    <w:abstractNumId w:val="9"/>
  </w:num>
  <w:num w:numId="36">
    <w:abstractNumId w:val="47"/>
  </w:num>
  <w:num w:numId="37">
    <w:abstractNumId w:val="23"/>
  </w:num>
  <w:num w:numId="38">
    <w:abstractNumId w:val="19"/>
  </w:num>
  <w:num w:numId="39">
    <w:abstractNumId w:val="42"/>
  </w:num>
  <w:num w:numId="40">
    <w:abstractNumId w:val="40"/>
  </w:num>
  <w:num w:numId="41">
    <w:abstractNumId w:val="6"/>
  </w:num>
  <w:num w:numId="42">
    <w:abstractNumId w:val="8"/>
  </w:num>
  <w:num w:numId="43">
    <w:abstractNumId w:val="24"/>
  </w:num>
  <w:num w:numId="44">
    <w:abstractNumId w:val="11"/>
  </w:num>
  <w:num w:numId="45">
    <w:abstractNumId w:val="44"/>
  </w:num>
  <w:num w:numId="46">
    <w:abstractNumId w:val="17"/>
  </w:num>
  <w:num w:numId="47">
    <w:abstractNumId w:val="3"/>
  </w:num>
  <w:num w:numId="48">
    <w:abstractNumId w:val="14"/>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2C"/>
    <w:rsid w:val="0002078F"/>
    <w:rsid w:val="000320AC"/>
    <w:rsid w:val="000422B5"/>
    <w:rsid w:val="00042D4A"/>
    <w:rsid w:val="000509DF"/>
    <w:rsid w:val="00051078"/>
    <w:rsid w:val="000531C8"/>
    <w:rsid w:val="00057613"/>
    <w:rsid w:val="00064763"/>
    <w:rsid w:val="00066947"/>
    <w:rsid w:val="00072044"/>
    <w:rsid w:val="0007373F"/>
    <w:rsid w:val="0007602D"/>
    <w:rsid w:val="00086AF9"/>
    <w:rsid w:val="00094BBD"/>
    <w:rsid w:val="000A208B"/>
    <w:rsid w:val="000A6B90"/>
    <w:rsid w:val="000B396D"/>
    <w:rsid w:val="000B4B01"/>
    <w:rsid w:val="000C43E9"/>
    <w:rsid w:val="000C63C7"/>
    <w:rsid w:val="000C7991"/>
    <w:rsid w:val="000D03E8"/>
    <w:rsid w:val="000D0B29"/>
    <w:rsid w:val="000D2167"/>
    <w:rsid w:val="000E11F3"/>
    <w:rsid w:val="000E197A"/>
    <w:rsid w:val="000E3ED6"/>
    <w:rsid w:val="000E68BA"/>
    <w:rsid w:val="000F3B97"/>
    <w:rsid w:val="000F49BB"/>
    <w:rsid w:val="000F706B"/>
    <w:rsid w:val="000F7702"/>
    <w:rsid w:val="00101A2C"/>
    <w:rsid w:val="0010614E"/>
    <w:rsid w:val="0013356B"/>
    <w:rsid w:val="0013365B"/>
    <w:rsid w:val="0013441F"/>
    <w:rsid w:val="0013649F"/>
    <w:rsid w:val="00142FCC"/>
    <w:rsid w:val="00151724"/>
    <w:rsid w:val="00156ACF"/>
    <w:rsid w:val="001620C2"/>
    <w:rsid w:val="00163D45"/>
    <w:rsid w:val="0017060A"/>
    <w:rsid w:val="00186B58"/>
    <w:rsid w:val="00190091"/>
    <w:rsid w:val="00191010"/>
    <w:rsid w:val="001967FD"/>
    <w:rsid w:val="001977D9"/>
    <w:rsid w:val="001A3A49"/>
    <w:rsid w:val="001B0FC3"/>
    <w:rsid w:val="001B1FA0"/>
    <w:rsid w:val="001B3AA3"/>
    <w:rsid w:val="001B7DC3"/>
    <w:rsid w:val="001C430A"/>
    <w:rsid w:val="001C5F35"/>
    <w:rsid w:val="001C7F4B"/>
    <w:rsid w:val="001E6062"/>
    <w:rsid w:val="001E63FB"/>
    <w:rsid w:val="001F2780"/>
    <w:rsid w:val="001F2BBC"/>
    <w:rsid w:val="001F42D6"/>
    <w:rsid w:val="0020048F"/>
    <w:rsid w:val="002043FE"/>
    <w:rsid w:val="00215055"/>
    <w:rsid w:val="00217AF7"/>
    <w:rsid w:val="00220754"/>
    <w:rsid w:val="00243952"/>
    <w:rsid w:val="0025086D"/>
    <w:rsid w:val="0025092A"/>
    <w:rsid w:val="00254715"/>
    <w:rsid w:val="0025794C"/>
    <w:rsid w:val="00270E29"/>
    <w:rsid w:val="00281B45"/>
    <w:rsid w:val="002848FE"/>
    <w:rsid w:val="00284980"/>
    <w:rsid w:val="002973DA"/>
    <w:rsid w:val="002A473C"/>
    <w:rsid w:val="002A7233"/>
    <w:rsid w:val="002B103F"/>
    <w:rsid w:val="002B59F2"/>
    <w:rsid w:val="002C296D"/>
    <w:rsid w:val="002C590A"/>
    <w:rsid w:val="002D00E9"/>
    <w:rsid w:val="002E3E41"/>
    <w:rsid w:val="002F10C7"/>
    <w:rsid w:val="002F561A"/>
    <w:rsid w:val="002F72F4"/>
    <w:rsid w:val="0030533B"/>
    <w:rsid w:val="00321E35"/>
    <w:rsid w:val="00345A89"/>
    <w:rsid w:val="0035235B"/>
    <w:rsid w:val="003524D8"/>
    <w:rsid w:val="00364AA4"/>
    <w:rsid w:val="0037202C"/>
    <w:rsid w:val="00377C9B"/>
    <w:rsid w:val="003A179D"/>
    <w:rsid w:val="003A3454"/>
    <w:rsid w:val="003B7C91"/>
    <w:rsid w:val="003C264F"/>
    <w:rsid w:val="003D3A79"/>
    <w:rsid w:val="003E7064"/>
    <w:rsid w:val="00400221"/>
    <w:rsid w:val="004008A3"/>
    <w:rsid w:val="00401A82"/>
    <w:rsid w:val="00403BAF"/>
    <w:rsid w:val="00415E4B"/>
    <w:rsid w:val="004174B7"/>
    <w:rsid w:val="004205D5"/>
    <w:rsid w:val="004234E0"/>
    <w:rsid w:val="004247FB"/>
    <w:rsid w:val="00431697"/>
    <w:rsid w:val="00432C7B"/>
    <w:rsid w:val="004349CE"/>
    <w:rsid w:val="00442935"/>
    <w:rsid w:val="004663D5"/>
    <w:rsid w:val="004664AD"/>
    <w:rsid w:val="00467DF4"/>
    <w:rsid w:val="004703D0"/>
    <w:rsid w:val="004723F7"/>
    <w:rsid w:val="00473C55"/>
    <w:rsid w:val="00476489"/>
    <w:rsid w:val="00476550"/>
    <w:rsid w:val="00477D23"/>
    <w:rsid w:val="00481661"/>
    <w:rsid w:val="0049378D"/>
    <w:rsid w:val="00493FA7"/>
    <w:rsid w:val="004972A7"/>
    <w:rsid w:val="004A0FB9"/>
    <w:rsid w:val="004A1372"/>
    <w:rsid w:val="004A5BE1"/>
    <w:rsid w:val="004A7054"/>
    <w:rsid w:val="004B0F84"/>
    <w:rsid w:val="004C053D"/>
    <w:rsid w:val="004C11A4"/>
    <w:rsid w:val="004C5F26"/>
    <w:rsid w:val="004E44D9"/>
    <w:rsid w:val="004F16A7"/>
    <w:rsid w:val="004F1982"/>
    <w:rsid w:val="005041D7"/>
    <w:rsid w:val="00507CA1"/>
    <w:rsid w:val="005110A3"/>
    <w:rsid w:val="00514110"/>
    <w:rsid w:val="00535E89"/>
    <w:rsid w:val="00547628"/>
    <w:rsid w:val="00554ABC"/>
    <w:rsid w:val="005652DC"/>
    <w:rsid w:val="00565D00"/>
    <w:rsid w:val="005816BC"/>
    <w:rsid w:val="00582E2F"/>
    <w:rsid w:val="005848EE"/>
    <w:rsid w:val="005868E4"/>
    <w:rsid w:val="00586A54"/>
    <w:rsid w:val="005956F2"/>
    <w:rsid w:val="005977D0"/>
    <w:rsid w:val="00597E9C"/>
    <w:rsid w:val="005A3BB2"/>
    <w:rsid w:val="005A4D5F"/>
    <w:rsid w:val="005A7AA9"/>
    <w:rsid w:val="005B20FE"/>
    <w:rsid w:val="005C3779"/>
    <w:rsid w:val="005C5729"/>
    <w:rsid w:val="005D5457"/>
    <w:rsid w:val="005E323F"/>
    <w:rsid w:val="005E58F4"/>
    <w:rsid w:val="005E7062"/>
    <w:rsid w:val="005F4201"/>
    <w:rsid w:val="005F6025"/>
    <w:rsid w:val="0061329B"/>
    <w:rsid w:val="006141DF"/>
    <w:rsid w:val="0062082C"/>
    <w:rsid w:val="00622B25"/>
    <w:rsid w:val="00623673"/>
    <w:rsid w:val="00636A64"/>
    <w:rsid w:val="00645714"/>
    <w:rsid w:val="00647A5D"/>
    <w:rsid w:val="00657D2B"/>
    <w:rsid w:val="00661B89"/>
    <w:rsid w:val="00672A21"/>
    <w:rsid w:val="006870F5"/>
    <w:rsid w:val="00687BBB"/>
    <w:rsid w:val="0069793F"/>
    <w:rsid w:val="006A37FF"/>
    <w:rsid w:val="006A4380"/>
    <w:rsid w:val="006A7527"/>
    <w:rsid w:val="006C260B"/>
    <w:rsid w:val="006C5EF9"/>
    <w:rsid w:val="006D7921"/>
    <w:rsid w:val="006D7C73"/>
    <w:rsid w:val="006E2668"/>
    <w:rsid w:val="006E64BA"/>
    <w:rsid w:val="006E7E1B"/>
    <w:rsid w:val="006F15C9"/>
    <w:rsid w:val="006F5A9E"/>
    <w:rsid w:val="00703CD0"/>
    <w:rsid w:val="007060A6"/>
    <w:rsid w:val="00706DD5"/>
    <w:rsid w:val="0072108B"/>
    <w:rsid w:val="0072359F"/>
    <w:rsid w:val="00726B5E"/>
    <w:rsid w:val="00734A19"/>
    <w:rsid w:val="007408AE"/>
    <w:rsid w:val="00743313"/>
    <w:rsid w:val="0075326F"/>
    <w:rsid w:val="0076246A"/>
    <w:rsid w:val="00762FE1"/>
    <w:rsid w:val="007A03C5"/>
    <w:rsid w:val="007A7C82"/>
    <w:rsid w:val="007B0422"/>
    <w:rsid w:val="007B76D8"/>
    <w:rsid w:val="007C3797"/>
    <w:rsid w:val="007D1609"/>
    <w:rsid w:val="007D7EDB"/>
    <w:rsid w:val="007E018F"/>
    <w:rsid w:val="008068F4"/>
    <w:rsid w:val="00824171"/>
    <w:rsid w:val="0082467C"/>
    <w:rsid w:val="00824AFE"/>
    <w:rsid w:val="0082500B"/>
    <w:rsid w:val="008251F6"/>
    <w:rsid w:val="00826ADA"/>
    <w:rsid w:val="00827236"/>
    <w:rsid w:val="00850E4B"/>
    <w:rsid w:val="008528C7"/>
    <w:rsid w:val="00852C3D"/>
    <w:rsid w:val="00860AD1"/>
    <w:rsid w:val="00876ECA"/>
    <w:rsid w:val="0087703D"/>
    <w:rsid w:val="00883072"/>
    <w:rsid w:val="008B6F53"/>
    <w:rsid w:val="008D1BD9"/>
    <w:rsid w:val="008D4542"/>
    <w:rsid w:val="008E3917"/>
    <w:rsid w:val="008F1B4B"/>
    <w:rsid w:val="008F3585"/>
    <w:rsid w:val="0090063D"/>
    <w:rsid w:val="0090588D"/>
    <w:rsid w:val="00906EBC"/>
    <w:rsid w:val="009079A1"/>
    <w:rsid w:val="009111C5"/>
    <w:rsid w:val="00911A9D"/>
    <w:rsid w:val="009317C4"/>
    <w:rsid w:val="0093776F"/>
    <w:rsid w:val="009418E3"/>
    <w:rsid w:val="00946AD1"/>
    <w:rsid w:val="00957E45"/>
    <w:rsid w:val="009608A1"/>
    <w:rsid w:val="00964AD6"/>
    <w:rsid w:val="0097047F"/>
    <w:rsid w:val="00975064"/>
    <w:rsid w:val="00976BBA"/>
    <w:rsid w:val="00983B8C"/>
    <w:rsid w:val="009A489D"/>
    <w:rsid w:val="009A78FB"/>
    <w:rsid w:val="009B18D9"/>
    <w:rsid w:val="009B6850"/>
    <w:rsid w:val="009C02BF"/>
    <w:rsid w:val="009C2390"/>
    <w:rsid w:val="009C4B30"/>
    <w:rsid w:val="009C5ADB"/>
    <w:rsid w:val="009C7455"/>
    <w:rsid w:val="009D1E70"/>
    <w:rsid w:val="009D22C2"/>
    <w:rsid w:val="009D3FE7"/>
    <w:rsid w:val="009D470D"/>
    <w:rsid w:val="009D5EEF"/>
    <w:rsid w:val="009E0070"/>
    <w:rsid w:val="009E6F81"/>
    <w:rsid w:val="00A0481C"/>
    <w:rsid w:val="00A0640F"/>
    <w:rsid w:val="00A068A4"/>
    <w:rsid w:val="00A10503"/>
    <w:rsid w:val="00A3024F"/>
    <w:rsid w:val="00A31C14"/>
    <w:rsid w:val="00A32130"/>
    <w:rsid w:val="00A61ABA"/>
    <w:rsid w:val="00A6542D"/>
    <w:rsid w:val="00A719A8"/>
    <w:rsid w:val="00A76F76"/>
    <w:rsid w:val="00A96408"/>
    <w:rsid w:val="00AA043F"/>
    <w:rsid w:val="00AA4C07"/>
    <w:rsid w:val="00AB0300"/>
    <w:rsid w:val="00AB1CFD"/>
    <w:rsid w:val="00AB26C6"/>
    <w:rsid w:val="00AC3AF0"/>
    <w:rsid w:val="00AC52E0"/>
    <w:rsid w:val="00AC770D"/>
    <w:rsid w:val="00AC7875"/>
    <w:rsid w:val="00AE035A"/>
    <w:rsid w:val="00AE46B9"/>
    <w:rsid w:val="00AE4FEB"/>
    <w:rsid w:val="00AE6A60"/>
    <w:rsid w:val="00AF6BCD"/>
    <w:rsid w:val="00B0074A"/>
    <w:rsid w:val="00B0207A"/>
    <w:rsid w:val="00B22204"/>
    <w:rsid w:val="00B3351B"/>
    <w:rsid w:val="00B377A9"/>
    <w:rsid w:val="00B42F07"/>
    <w:rsid w:val="00B46331"/>
    <w:rsid w:val="00B62792"/>
    <w:rsid w:val="00B6629F"/>
    <w:rsid w:val="00B66A79"/>
    <w:rsid w:val="00B74CBC"/>
    <w:rsid w:val="00B75722"/>
    <w:rsid w:val="00B87706"/>
    <w:rsid w:val="00BA1D78"/>
    <w:rsid w:val="00BB412A"/>
    <w:rsid w:val="00BB6513"/>
    <w:rsid w:val="00BB6BF2"/>
    <w:rsid w:val="00BB79AD"/>
    <w:rsid w:val="00BC1942"/>
    <w:rsid w:val="00BC512C"/>
    <w:rsid w:val="00BC6463"/>
    <w:rsid w:val="00BD51B0"/>
    <w:rsid w:val="00BE791A"/>
    <w:rsid w:val="00BF6E40"/>
    <w:rsid w:val="00C014D0"/>
    <w:rsid w:val="00C05D54"/>
    <w:rsid w:val="00C142DD"/>
    <w:rsid w:val="00C215AC"/>
    <w:rsid w:val="00C223BC"/>
    <w:rsid w:val="00C23A81"/>
    <w:rsid w:val="00C243F7"/>
    <w:rsid w:val="00C30D34"/>
    <w:rsid w:val="00C377E9"/>
    <w:rsid w:val="00C3783E"/>
    <w:rsid w:val="00C4072F"/>
    <w:rsid w:val="00C67E01"/>
    <w:rsid w:val="00C71E9E"/>
    <w:rsid w:val="00C73188"/>
    <w:rsid w:val="00C74AE2"/>
    <w:rsid w:val="00C76EDC"/>
    <w:rsid w:val="00C8076E"/>
    <w:rsid w:val="00C85FD8"/>
    <w:rsid w:val="00C93EC5"/>
    <w:rsid w:val="00CA1169"/>
    <w:rsid w:val="00CA14D0"/>
    <w:rsid w:val="00CA422B"/>
    <w:rsid w:val="00CA77F4"/>
    <w:rsid w:val="00CB0F4F"/>
    <w:rsid w:val="00CB2FB9"/>
    <w:rsid w:val="00CD35E5"/>
    <w:rsid w:val="00CD584A"/>
    <w:rsid w:val="00CD59F5"/>
    <w:rsid w:val="00CD7164"/>
    <w:rsid w:val="00CE6659"/>
    <w:rsid w:val="00CF7959"/>
    <w:rsid w:val="00D02E8E"/>
    <w:rsid w:val="00D037FD"/>
    <w:rsid w:val="00D16DD6"/>
    <w:rsid w:val="00D32C47"/>
    <w:rsid w:val="00D338C3"/>
    <w:rsid w:val="00D34247"/>
    <w:rsid w:val="00D35F3D"/>
    <w:rsid w:val="00D43F05"/>
    <w:rsid w:val="00D43F7A"/>
    <w:rsid w:val="00D45F13"/>
    <w:rsid w:val="00D51DAE"/>
    <w:rsid w:val="00D5715F"/>
    <w:rsid w:val="00D629F6"/>
    <w:rsid w:val="00D66065"/>
    <w:rsid w:val="00D73C2D"/>
    <w:rsid w:val="00D80D8E"/>
    <w:rsid w:val="00D8323F"/>
    <w:rsid w:val="00D93241"/>
    <w:rsid w:val="00D94D14"/>
    <w:rsid w:val="00D94D15"/>
    <w:rsid w:val="00DA67F0"/>
    <w:rsid w:val="00DC39BF"/>
    <w:rsid w:val="00DC3A93"/>
    <w:rsid w:val="00DD1B9C"/>
    <w:rsid w:val="00DD4D36"/>
    <w:rsid w:val="00DE4C39"/>
    <w:rsid w:val="00DE75F6"/>
    <w:rsid w:val="00E01FAC"/>
    <w:rsid w:val="00E17C55"/>
    <w:rsid w:val="00E205E2"/>
    <w:rsid w:val="00E27A24"/>
    <w:rsid w:val="00E35343"/>
    <w:rsid w:val="00E41E7C"/>
    <w:rsid w:val="00E426B7"/>
    <w:rsid w:val="00E56C06"/>
    <w:rsid w:val="00E70BF5"/>
    <w:rsid w:val="00E71453"/>
    <w:rsid w:val="00E920FC"/>
    <w:rsid w:val="00EA0E94"/>
    <w:rsid w:val="00EC2B9B"/>
    <w:rsid w:val="00ED14B7"/>
    <w:rsid w:val="00ED1AEE"/>
    <w:rsid w:val="00ED4B27"/>
    <w:rsid w:val="00ED5E45"/>
    <w:rsid w:val="00EE6794"/>
    <w:rsid w:val="00EF0FB8"/>
    <w:rsid w:val="00EF1581"/>
    <w:rsid w:val="00EF7F62"/>
    <w:rsid w:val="00F01737"/>
    <w:rsid w:val="00F0281D"/>
    <w:rsid w:val="00F03D8A"/>
    <w:rsid w:val="00F04DF2"/>
    <w:rsid w:val="00F06EC1"/>
    <w:rsid w:val="00F20664"/>
    <w:rsid w:val="00F24183"/>
    <w:rsid w:val="00F33996"/>
    <w:rsid w:val="00F35572"/>
    <w:rsid w:val="00F4037E"/>
    <w:rsid w:val="00F41B11"/>
    <w:rsid w:val="00F516BB"/>
    <w:rsid w:val="00F567D6"/>
    <w:rsid w:val="00F67476"/>
    <w:rsid w:val="00F67EE7"/>
    <w:rsid w:val="00F90037"/>
    <w:rsid w:val="00F94089"/>
    <w:rsid w:val="00FA72FC"/>
    <w:rsid w:val="00FB3AE3"/>
    <w:rsid w:val="00FC1E51"/>
    <w:rsid w:val="00FD0FEA"/>
    <w:rsid w:val="00FF30B9"/>
    <w:rsid w:val="00FF39A2"/>
    <w:rsid w:val="00FF3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9714E"/>
  <w15:chartTrackingRefBased/>
  <w15:docId w15:val="{E0B72104-8266-415F-9C27-8827751B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40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40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783E"/>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C3783E"/>
    <w:pPr>
      <w:keepNext/>
      <w:keepLines/>
      <w:spacing w:before="160" w:after="120"/>
      <w:outlineLvl w:val="3"/>
    </w:pPr>
    <w:rPr>
      <w:rFonts w:eastAsiaTheme="majorEastAsia" w:cstheme="majorBidi"/>
      <w:b/>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9DF"/>
    <w:pPr>
      <w:ind w:left="720"/>
      <w:contextualSpacing/>
    </w:pPr>
  </w:style>
  <w:style w:type="paragraph" w:styleId="Header">
    <w:name w:val="header"/>
    <w:basedOn w:val="Normal"/>
    <w:link w:val="HeaderChar"/>
    <w:uiPriority w:val="99"/>
    <w:unhideWhenUsed/>
    <w:rsid w:val="00AC5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2E0"/>
  </w:style>
  <w:style w:type="paragraph" w:styleId="Footer">
    <w:name w:val="footer"/>
    <w:basedOn w:val="Normal"/>
    <w:link w:val="FooterChar"/>
    <w:uiPriority w:val="99"/>
    <w:unhideWhenUsed/>
    <w:rsid w:val="00AC5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2E0"/>
  </w:style>
  <w:style w:type="character" w:customStyle="1" w:styleId="Heading1Char">
    <w:name w:val="Heading 1 Char"/>
    <w:basedOn w:val="DefaultParagraphFont"/>
    <w:link w:val="Heading1"/>
    <w:uiPriority w:val="9"/>
    <w:rsid w:val="00F9408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94089"/>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F2BBC"/>
    <w:rPr>
      <w:sz w:val="16"/>
      <w:szCs w:val="16"/>
    </w:rPr>
  </w:style>
  <w:style w:type="paragraph" w:styleId="CommentText">
    <w:name w:val="annotation text"/>
    <w:basedOn w:val="Normal"/>
    <w:link w:val="CommentTextChar"/>
    <w:uiPriority w:val="99"/>
    <w:semiHidden/>
    <w:unhideWhenUsed/>
    <w:rsid w:val="001F2BBC"/>
    <w:pPr>
      <w:spacing w:line="240" w:lineRule="auto"/>
    </w:pPr>
    <w:rPr>
      <w:sz w:val="20"/>
      <w:szCs w:val="20"/>
    </w:rPr>
  </w:style>
  <w:style w:type="character" w:customStyle="1" w:styleId="CommentTextChar">
    <w:name w:val="Comment Text Char"/>
    <w:basedOn w:val="DefaultParagraphFont"/>
    <w:link w:val="CommentText"/>
    <w:uiPriority w:val="99"/>
    <w:semiHidden/>
    <w:rsid w:val="001F2BBC"/>
    <w:rPr>
      <w:sz w:val="20"/>
      <w:szCs w:val="20"/>
    </w:rPr>
  </w:style>
  <w:style w:type="paragraph" w:styleId="CommentSubject">
    <w:name w:val="annotation subject"/>
    <w:basedOn w:val="CommentText"/>
    <w:next w:val="CommentText"/>
    <w:link w:val="CommentSubjectChar"/>
    <w:uiPriority w:val="99"/>
    <w:semiHidden/>
    <w:unhideWhenUsed/>
    <w:rsid w:val="001F2BBC"/>
    <w:rPr>
      <w:b/>
      <w:bCs/>
    </w:rPr>
  </w:style>
  <w:style w:type="character" w:customStyle="1" w:styleId="CommentSubjectChar">
    <w:name w:val="Comment Subject Char"/>
    <w:basedOn w:val="CommentTextChar"/>
    <w:link w:val="CommentSubject"/>
    <w:uiPriority w:val="99"/>
    <w:semiHidden/>
    <w:rsid w:val="001F2BBC"/>
    <w:rPr>
      <w:b/>
      <w:bCs/>
      <w:sz w:val="20"/>
      <w:szCs w:val="20"/>
    </w:rPr>
  </w:style>
  <w:style w:type="paragraph" w:styleId="BalloonText">
    <w:name w:val="Balloon Text"/>
    <w:basedOn w:val="Normal"/>
    <w:link w:val="BalloonTextChar"/>
    <w:uiPriority w:val="99"/>
    <w:semiHidden/>
    <w:unhideWhenUsed/>
    <w:rsid w:val="001F2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BBC"/>
    <w:rPr>
      <w:rFonts w:ascii="Segoe UI" w:hAnsi="Segoe UI" w:cs="Segoe UI"/>
      <w:sz w:val="18"/>
      <w:szCs w:val="18"/>
    </w:rPr>
  </w:style>
  <w:style w:type="paragraph" w:styleId="FootnoteText">
    <w:name w:val="footnote text"/>
    <w:basedOn w:val="Normal"/>
    <w:link w:val="FootnoteTextChar"/>
    <w:uiPriority w:val="99"/>
    <w:semiHidden/>
    <w:unhideWhenUsed/>
    <w:rsid w:val="000E3E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3ED6"/>
    <w:rPr>
      <w:sz w:val="20"/>
      <w:szCs w:val="20"/>
    </w:rPr>
  </w:style>
  <w:style w:type="character" w:styleId="FootnoteReference">
    <w:name w:val="footnote reference"/>
    <w:basedOn w:val="DefaultParagraphFont"/>
    <w:uiPriority w:val="99"/>
    <w:semiHidden/>
    <w:unhideWhenUsed/>
    <w:rsid w:val="000E3ED6"/>
    <w:rPr>
      <w:vertAlign w:val="superscript"/>
    </w:rPr>
  </w:style>
  <w:style w:type="character" w:styleId="Hyperlink">
    <w:name w:val="Hyperlink"/>
    <w:basedOn w:val="DefaultParagraphFont"/>
    <w:uiPriority w:val="99"/>
    <w:unhideWhenUsed/>
    <w:rsid w:val="00ED14B7"/>
    <w:rPr>
      <w:color w:val="0563C1" w:themeColor="hyperlink"/>
      <w:u w:val="single"/>
    </w:rPr>
  </w:style>
  <w:style w:type="character" w:customStyle="1" w:styleId="UnresolvedMention1">
    <w:name w:val="Unresolved Mention1"/>
    <w:basedOn w:val="DefaultParagraphFont"/>
    <w:uiPriority w:val="99"/>
    <w:semiHidden/>
    <w:unhideWhenUsed/>
    <w:rsid w:val="00ED14B7"/>
    <w:rPr>
      <w:color w:val="605E5C"/>
      <w:shd w:val="clear" w:color="auto" w:fill="E1DFDD"/>
    </w:rPr>
  </w:style>
  <w:style w:type="paragraph" w:styleId="Revision">
    <w:name w:val="Revision"/>
    <w:hidden/>
    <w:uiPriority w:val="99"/>
    <w:semiHidden/>
    <w:rsid w:val="0007602D"/>
    <w:pPr>
      <w:spacing w:after="0" w:line="240" w:lineRule="auto"/>
    </w:pPr>
  </w:style>
  <w:style w:type="character" w:customStyle="1" w:styleId="Mencinsinresolver1">
    <w:name w:val="Mención sin resolver1"/>
    <w:basedOn w:val="DefaultParagraphFont"/>
    <w:uiPriority w:val="99"/>
    <w:semiHidden/>
    <w:unhideWhenUsed/>
    <w:rsid w:val="00A719A8"/>
    <w:rPr>
      <w:color w:val="605E5C"/>
      <w:shd w:val="clear" w:color="auto" w:fill="E1DFDD"/>
    </w:rPr>
  </w:style>
  <w:style w:type="paragraph" w:styleId="TOCHeading">
    <w:name w:val="TOC Heading"/>
    <w:basedOn w:val="Heading1"/>
    <w:next w:val="Normal"/>
    <w:uiPriority w:val="39"/>
    <w:unhideWhenUsed/>
    <w:qFormat/>
    <w:rsid w:val="006870F5"/>
    <w:pPr>
      <w:outlineLvl w:val="9"/>
    </w:pPr>
  </w:style>
  <w:style w:type="paragraph" w:styleId="TOC1">
    <w:name w:val="toc 1"/>
    <w:basedOn w:val="Normal"/>
    <w:next w:val="Normal"/>
    <w:autoRedefine/>
    <w:uiPriority w:val="39"/>
    <w:unhideWhenUsed/>
    <w:rsid w:val="006870F5"/>
    <w:pPr>
      <w:spacing w:after="100"/>
    </w:pPr>
  </w:style>
  <w:style w:type="paragraph" w:styleId="TOC2">
    <w:name w:val="toc 2"/>
    <w:basedOn w:val="Normal"/>
    <w:next w:val="Normal"/>
    <w:autoRedefine/>
    <w:uiPriority w:val="39"/>
    <w:unhideWhenUsed/>
    <w:rsid w:val="006870F5"/>
    <w:pPr>
      <w:spacing w:after="100"/>
      <w:ind w:left="220"/>
    </w:pPr>
  </w:style>
  <w:style w:type="character" w:customStyle="1" w:styleId="Heading3Char">
    <w:name w:val="Heading 3 Char"/>
    <w:basedOn w:val="DefaultParagraphFont"/>
    <w:link w:val="Heading3"/>
    <w:uiPriority w:val="9"/>
    <w:rsid w:val="00C3783E"/>
    <w:rPr>
      <w:rFonts w:eastAsiaTheme="majorEastAsia" w:cstheme="majorBidi"/>
      <w:b/>
      <w:szCs w:val="24"/>
    </w:rPr>
  </w:style>
  <w:style w:type="paragraph" w:styleId="TOC3">
    <w:name w:val="toc 3"/>
    <w:basedOn w:val="Normal"/>
    <w:next w:val="Normal"/>
    <w:autoRedefine/>
    <w:uiPriority w:val="39"/>
    <w:unhideWhenUsed/>
    <w:rsid w:val="006870F5"/>
    <w:pPr>
      <w:spacing w:after="100"/>
      <w:ind w:left="440"/>
    </w:pPr>
  </w:style>
  <w:style w:type="character" w:customStyle="1" w:styleId="Heading4Char">
    <w:name w:val="Heading 4 Char"/>
    <w:basedOn w:val="DefaultParagraphFont"/>
    <w:link w:val="Heading4"/>
    <w:uiPriority w:val="9"/>
    <w:rsid w:val="00C3783E"/>
    <w:rPr>
      <w:rFonts w:eastAsiaTheme="majorEastAsia" w:cstheme="majorBidi"/>
      <w:b/>
      <w:iCs/>
      <w:u w:val="single"/>
    </w:rPr>
  </w:style>
  <w:style w:type="paragraph" w:styleId="TOC4">
    <w:name w:val="toc 4"/>
    <w:basedOn w:val="Normal"/>
    <w:next w:val="Normal"/>
    <w:autoRedefine/>
    <w:uiPriority w:val="39"/>
    <w:unhideWhenUsed/>
    <w:rsid w:val="00C3783E"/>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pport.unit@gfm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fmd-ecuador@cancilleria.gob.e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C6230-B91C-4545-A755-E0E9DBA0B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5742</Words>
  <Characters>32731</Characters>
  <Application>Microsoft Office Word</Application>
  <DocSecurity>0</DocSecurity>
  <Lines>272</Lines>
  <Paragraphs>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Rosengaertner</dc:creator>
  <cp:keywords/>
  <dc:description/>
  <cp:lastModifiedBy>GFMD Laptop</cp:lastModifiedBy>
  <cp:revision>4</cp:revision>
  <cp:lastPrinted>2019-02-28T10:10:00Z</cp:lastPrinted>
  <dcterms:created xsi:type="dcterms:W3CDTF">2019-02-28T10:09:00Z</dcterms:created>
  <dcterms:modified xsi:type="dcterms:W3CDTF">2019-02-28T11:07:00Z</dcterms:modified>
</cp:coreProperties>
</file>